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PITEK_W1: </w:t>
      </w:r>
    </w:p>
    <w:p>
      <w:pPr/>
      <w:r>
        <w:rPr/>
        <w:t xml:space="preserve">Ma szczegółową wiedzę w zakresie technik grafiki komputerowej, cyfrowych metod przetwarzania tekstów i obrazów oraz projektowania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PITEK_U1: </w:t>
      </w:r>
    </w:p>
    <w:p>
      <w:pPr/>
      <w:r>
        <w:rPr/>
        <w:t xml:space="preserve">Student na podstawie przeprowadzonej analizy literatury fachowej rozwija swoją wiedzę i umiejętności z zakresu zagadnień związanych z przetwarzaniem informacji tekstowej.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PITEK_U3: </w:t>
      </w:r>
    </w:p>
    <w:p>
      <w:pPr/>
      <w:r>
        <w:rPr/>
        <w:t xml:space="preserve">Potrafi — zgodnie z zadaną specyfikacją — zaprojektować proces przygotowania publikacji do drukowania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PITEK_K1: </w:t>
      </w:r>
    </w:p>
    <w:p>
      <w:pPr/>
      <w:r>
        <w:rPr/>
        <w:t xml:space="preserve">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PITEK_K2: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2026-09-04T19:13:59+02:00</dcterms:created>
  <dcterms:modified xsi:type="dcterms:W3CDTF">2026-09-04T19:13:59+02:00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