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TOPAK_U1: </w:t>
      </w:r>
    </w:p>
    <w:p>
      <w:pPr/>
      <w:r>
        <w:rPr/>
        <w:t xml:space="preserve">Potrafi zaprojektować opakowanie, uwzględniając jego niezbędne kryteria.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TOPAK_U2: </w:t>
      </w:r>
    </w:p>
    <w:p>
      <w:pPr/>
      <w:r>
        <w:rPr/>
        <w:t xml:space="preserve">Umie dobrać materiał opakowaniowy do projektu opakowania z punktu widzenia barierowości, wytrzymałości, ekologiczności i ekonomii.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TOPAK_U5: </w:t>
      </w:r>
    </w:p>
    <w:p>
      <w:pPr/>
      <w:r>
        <w:rPr/>
        <w:t xml:space="preserve">Potrafi zaprojektować opakowanie, uwzględniając jego niezbędne kryteria.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TOPAK_U6: </w:t>
      </w:r>
    </w:p>
    <w:p>
      <w:pPr/>
      <w:r>
        <w:rPr/>
        <w:t xml:space="preserve">Student umie przeprowadzić ocenę opracowanego opakowania z 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TOPAK_K2: </w:t>
      </w:r>
    </w:p>
    <w:p>
      <w:pPr/>
      <w:r>
        <w:rPr/>
        <w:t xml:space="preserve">Student umie przeprowadzić ocenę opracowanego opakowania z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2026-09-04T19:49:54+02:00</dcterms:created>
  <dcterms:modified xsi:type="dcterms:W3CDTF">2026-09-04T19:49:54+02:00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