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 . Obejmuje: 
1) Zajęcia kontaktowe z nauczycielem:
•	ćwiczenia 15 godz.,
•	laboratorium 15 godz,
•	konsultacje 10 godz.
 RAZEM: 40 godz.
2) Zajęcia bez kontaktu z nauczycielem (Praca własna studenta) :
1.	Sporządzanie sprawozdań z laboratoriów -  15 godz.
2.	Przygotowanie do kolokwiów  - 5 godz.
RAZEM: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z ćwiczeń audytoryjnych, zaliczanie kolejnych ćwiczeń laboratoryjnych; ocena jest średnią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MEWY2_W1: </w:t>
      </w:r>
    </w:p>
    <w:p>
      <w:pPr/>
      <w:r>
        <w:rPr/>
        <w:t xml:space="preserve">Ma elementarną wiedzę w zakresie wytrzymałości materiałów umożliwiającą rozwiązywanie zadań, umie scharakteryzować wybrane metody badania wytrzymałości materiałów, w tym badań nieniszczących ultradźwiękowych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MEWY2_U1: </w:t>
      </w:r>
    </w:p>
    <w:p>
      <w:pPr/>
      <w:r>
        <w:rPr/>
        <w:t xml:space="preserve">Potrafi przeprowadzać doświadczenia w zakresie badania własności mechanicznych materiałów, interpretować uzyskane wyniki i wyciągać wnioski.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doświadczeń.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MEWY2_K1: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2026-03-25T05:26:07+01:00</dcterms:created>
  <dcterms:modified xsi:type="dcterms:W3CDTF">2026-03-25T05:26:07+01:00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