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Części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59,5  godz. Obejmuje:
1) Zajęcia kontaktowe z nauczycielem: 
•	obecność na wykładach 30 godz. (2x15);
•	konsultacje 2 godz. 
2) Zajęcia bez kontaktu z nauczycielem (Praca własna studenta) :
•	przygotowanie do zajęć wykładowych 7,5 godz.  (0,5x15); 
•	przygotowanie do sprawdzianów, w tym obejmuje identyfikację elementów schematów kinematycznych 20 godz. (5x4).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podstawowej wiedzy z zakresów: materiałów konstrukcyjnych, technik wytwarzania oraz budowy podstawowych mechanizmów maszyn. Przygotowanie studentów do analizy schematów maszyn poligraficznych oraz ich zespołów i mechanizmów a także do samodzielnej syntezy prostych mechanizmów maszyn poligraficznych.
Zapoznanie studentów z podstawowymi pojęciami z zakresu eksploatacji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rodzaje materiałów konstrukcyjnych oraz ich własności. Techniki wytwarzania i podstawowe urządzenia do obróbki ubytkowej. Systemy pasowania oraz ich zastosowania. Połączenia rozłączne i nierozłączne stosowane w budowie maszyn. Pary kinematyczne i ich ogniwa. Budowa i zasada działania podstawowych mechanizmów maszyn oraz sposoby ich oznaczania na schematach strukturalnych (kinematycznych), Podstawowe pojęcia z zakresu eksploatacji maszyn: zużycie, tarcie, smarowanie.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czterech prac, testów kontrolnych, przeprowadzonych w zapowiedzianym terminie po omówieniu materiału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Dobrzyński T.: Rysunek techniczny maszynowy. WNT, Warszawa 2007.
2.	Praca zbiorowa: Mały poradnik mechanika. WNT, Warszawa 1996.
3.	PN-EN ISO 3952-1 Rysunek techniczny maszynowy, Symbole graficzne stosowane w schematach kinematycznych, Ruch ogniw mechanizmów; pary kinematyczne; ogniwa; mechanizmy dźwigniowe, PKN wrzesień 1998.
4.	 PN-EN ISO 3952-2 Rysunek techniczny maszynowy, Symbole graficzne stosowane w schematach kinematycznych, Mechanizmy cierne, zębate i krzywkowe, PKN wrzesień 1998.
5.	PN-EN ISO 3952-3 Rysunek techniczny maszynowy, Symbole graficzne stosowane w schematach kinematycznych, Mechanizmy maltańskie; sprzęgła i hamulce, PKN wrzesień 1998.
6.	PN-EN ISO 3952-4 Rysunek techniczny maszynowy, Symbole graficzne stosowane w schematach kinematycznych,  Mechanizmy różne i ich części, PKN maj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CMASZ_W1: </w:t>
      </w:r>
    </w:p>
    <w:p>
      <w:pPr/>
      <w:r>
        <w:rPr/>
        <w:t xml:space="preserve">Ma elementarną wiedzę w zakresie materiałów konstrukcyjnych oraz budowy mechanizmów niezbędnych do zrozumienia podstaw działania maszyn i urządzeń.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CMASZ_W2: </w:t>
      </w:r>
    </w:p>
    <w:p>
      <w:pPr/>
      <w:r>
        <w:rPr/>
        <w:t xml:space="preserve">Ma podstawową wiedzę o cyklu życia materiałów i urządzeń technicznych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CMASZ_U1: </w:t>
      </w:r>
    </w:p>
    <w:p>
      <w:pPr/>
      <w:r>
        <w:rPr/>
        <w:t xml:space="preserve">Potrafi czytać i tworzyć proste schematy kinematyczne oraz analizować i charakteryzować typowe mechanizmy maszyn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PK1A_U02, PK1A_U13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CMASZ_K1: </w:t>
      </w:r>
    </w:p>
    <w:p>
      <w:pPr/>
      <w:r>
        <w:rPr/>
        <w:t xml:space="preserve">potrafi w sposób powszechnie zrozumiały przekazać informacje i opinie, dotyczące rozwiązań technicznych części maszyn.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2026-06-06T08:48:25+02:00</dcterms:created>
  <dcterms:modified xsi:type="dcterms:W3CDTF">2026-06-06T08:48:25+02:00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