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Tematy obieralne filozoficzne</w:t>
      </w:r>
    </w:p>
    <w:p>
      <w:pPr>
        <w:keepNext w:val="1"/>
        <w:spacing w:after="10"/>
      </w:pPr>
      <w:r>
        <w:rPr>
          <w:b/>
          <w:bCs/>
        </w:rPr>
        <w:t xml:space="preserve">Koordynator przedmiotu: </w:t>
      </w:r>
    </w:p>
    <w:p>
      <w:pPr>
        <w:spacing w:before="20" w:after="190"/>
      </w:pPr>
      <w:r>
        <w:rPr/>
        <w:t xml:space="preserve">wykłady i ćwiczenia: dr Monika Stachowiak-Kudła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A13_TOF</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Obciążenie studenta: 
Udział w wykładach 20 godzin.
Udział w ćwiczeniach 10 godzin (łącznie godziny kontaktowe: 30 godzin). 
Praca własna: przygotowanie do zajęć, do  kolokwium i egzaminu 70 godzin. 
Sumaryczne obciążenie pracą studenta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jeden punkt ECTS (przedmiot realizowany jest w wymiarze 30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prawa konstytucyjnego, prawa administracyjnego, prawa cywilnego na poziomie wynikającym z programu dwóch pierwszych lat studiów pierwszego stopnia w zakresie administracji.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Założenia i cele przedmiotu:
Przedmiot opiera się na założeniu, że praca w instytucjach rządowych i samorządowych, instytucjach Unii Europejskiej, stowarzyszeniach i fundacjach oraz praca naukowa w dyscyplinie nauki prawne i nauki o polityce i administracji wymaga znajomości podstawowych koncepcji teoretycznych w zakresie finansów publicznych i prawa finansowego. Przedmiot ma na celu dostarczenie wiedzy oraz kształtowanie umiejętności praktycznych i kompetencji społecznych w tym zakresie.
Zamierzone cele dydaktyczne można podzielić na dwie grupy: 
1.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2.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Zaliczenie ćwiczeń na podstawie:
1.	prawidłowego rozwiązania wskazanych problemów (ćwiczenia praktyczne w zakresie analizy aktów prawnych, rozwiązywanie kazusów, formułowanie pism, budowy decyzji administracyjnej, wyliczania wysokości podatku). Ćwiczenia są wykonywane samodzielnie bądź w grupach - 10 punktów;
2.	kolokwium w formie testu jednokrotnego składającego się z 15 pytań - 15 pkt.
Nieobecności nadprogramowe wymagają zrobienia małego badania uzgodnionego z wykładowcą i zaprezentowania wyników badania w formie postera. 
Ćwiczenia uważa się za zaliczone, gdy student otrzymał co najmniej 13 punktów.
Egzamin pisemny składa się z 7 pytań otwartych - 35 pkt.
Sposób obliczania oceny końcowej z przedmiotu: Punkty z ćwiczeń są dodawane do punktów z egzaminu.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 Bitner, E. Chojna-Duch, J. Chowaniec, H. E. Litwińczuk, M.Grzybowski, E. I. Chojna-Duch, P. Karwat, P. Karwat, E. Kornberger-Sokołowska, M. Lachowicz, H. Litwińczuk, W. Modzelewski, K. Radzikowski, M. Ślifirczyk, M. Supera-Markowska, K. Tetłak, M. Waluga, Prawo finansowe. Prawo finansów publicznych. Prawo podatkowe. Prawo bankowe, Warszawa 2017.
2. P. Felis, M. Jamrozy, J. Szlęzak-Matusewicz, Podatki i składki w działalności przedsiębiorców, Warszawa 2015.
3. I. Olchowicz, P. Felis, M. Jamrozy, J. Szlęzak-Matusewicz,  VAT w działalności gospodarczej, Warszawa 2015.
Literatura uzupełniająca:	   
1. P. Panfil, Prawne i finansowe uwarunkowania długu Skarbu Państwa, Wolters Kluwer, Warszawa 2016.
2. M. Bitner, Prawne instrumenty ograniczania deficytu budżetowego i długu publicznego jednostek samorządu terytorialnego, Wolters Kluwer, Warszawa 2016.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Metody dydaktyczne:
- metody podające (wykład informacyjny, wyjaśnienie), 
- metody problemowe (metoda przypadków, dyskusja dydaktyczna), 
- metody praktyczne (pokaz, ćwiczenie przedmiotowe), 
- metody programowane (z użyciem komputera)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2026-05-30T01:48:29+02:00</dcterms:created>
  <dcterms:modified xsi:type="dcterms:W3CDTF">2026-05-30T01:48:29+02:00</dcterms:modified>
</cp:coreProperties>
</file>

<file path=docProps/custom.xml><?xml version="1.0" encoding="utf-8"?>
<Properties xmlns="http://schemas.openxmlformats.org/officeDocument/2006/custom-properties" xmlns:vt="http://schemas.openxmlformats.org/officeDocument/2006/docPropsVTypes"/>
</file>