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Student zna teorie i koncepcje  oraz uwarunkowania prawne w zakresie ekonomii behawioralnej, poprawnie je interpretuje.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nieracjonalności ekonomicznej ludzkich zachowań i ich konsekwencjach na proces podejmowanie decyzji m.in.  przez urzędy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Potrafi posługiwać się teorią w działaniu operacyjnym i strategicznym, przewiduje skutki ewentualnych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wykorzystać poznane teorie w procesie decyzyjnym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K_EBH_1: </w:t>
      </w:r>
    </w:p>
    <w:p>
      <w:pPr/>
      <w:r>
        <w:rPr/>
        <w:t xml:space="preserve">Współpracuje w zespole, działa systematycznie i z zaangażowaniem, ma nawyk szukania profesjonalnej informacji w celu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2026-08-19T07:39:41+02:00</dcterms:created>
  <dcterms:modified xsi:type="dcterms:W3CDTF">2026-08-19T07:39:41+02:00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