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Mechanika IV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Franciszek Dul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ML.ZNZ336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Liczba godzin kontaktowych - 23, w tym: 
a) wykład - 9 godz.;
b) ćwiczenia - 9 godz.;
c) konsultacje i egzamin - 5 godz.
2. Praca własna studenta - 40 godz.
a) studiowanie zalecanej literatury, przygotowywanie się do kolokwiów - 10 godz.;
b) rozwiązywanie w domu zadań, przygotowywanie się do ćwiczeń - 10 godz.;
c) przygotowywanie się do egzaminu - 10 godz.;
d) przygotowywanie się do kolokwiów, testów - 10 godz.
Razem - 63 godz.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 punkt ECTS - liczba godzin kontaktowych - 23, w tym: 
a) wykład - 9 godz.;
b) ćwiczenia - 9 godz.;
c) konsultacje i egzamin - 5 godz.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1,5 punktu ECTS.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Mechanika I, Mechanika II.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70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Przekazanie podstawowej wiedzy na temat ruchu kulistego i ogólnego, ruchu układów o zmiennej masie i zderzeń nieniszczących. Zapoznanie słuchaczy z zastosowaniami przekazanej wiedzy. Nabycie umiejętności rozwiązywania zadań z kinematyki i dynamiki ruchu kulistego.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Kinematyka ruchu kulistego. Dynamika ruchu kulistego bryły sztywnej. Dynamika ruchu ogólnego bryły sztywnej. Uproszczona teoria żyroskopu. Zjawiska żyroskopowe. Zastosowania. Ruch układów o zmiennej masie. Ruch rakiet. Zderzenia nieniszczące.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Kolokwium, egzamin, test pisemny lub praca domowa.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Leyko, J. , Mechanika Ogólna t.1 i 2. PWN 2004.
2. Osiński, Z. , Mechanika Ogólna. PWN 2001.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Przedmiot stanowi dokończenie kursu mechaniki punktu materialnego i bryły sztywnej.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ML.ZNZ336_W1: </w:t>
      </w:r>
    </w:p>
    <w:p>
      <w:pPr/>
      <w:r>
        <w:rPr/>
        <w:t xml:space="preserve">Student ma podstawową wiedzę na temat kinematyki i dynamiki ruchu kulistego.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test pisemny lub praca domowa.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MiBM2_W01, MiBM2_W02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T2A_W01, T2A_W07, T2A_W03, T2A_W07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ML.ZNZ336_U1: </w:t>
      </w:r>
    </w:p>
    <w:p>
      <w:pPr/>
      <w:r>
        <w:rPr/>
        <w:t xml:space="preserve">Student umie rozwiązywać zadania z kinematyki ruchu kulistego.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Praca domowa, kolokwium, egzamin.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MiBM2_U09, MiBM2_U10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T2A_U08, T2A_U09, T2A_U08, T2A_U09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2025-05-09T20:07:47+02:00</dcterms:created>
  <dcterms:modified xsi:type="dcterms:W3CDTF">2025-05-09T20:07:47+02:00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