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23, w tym:
a) 18 godz. – wykład, 
b) 5 godz. – konsultacje.
2. Praca własna studenta – 52 godziny, w tym: 
a) 32 godz. – przygotowanie się studenta do zajęć w trakcie semestru, 
b) 20 godz. – przygotowanie do sprawdzianu semestralnego.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- liczba godzin kontaktowych: 23, w tym: 
a) wykład – 18 godz., 
b)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 (ZNW108), Mechanika II (ZNW115)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
Po zaliczeniu przedmiotu student będzie umiał:
- obliczać siły rozwijane przez mięśnie i siły reakcji w stawach wywołane obciążeniem zewnętrznym ciała człowieka pojawiającym się podczas codziennych czynności, pracy fizycznej, uprawiania sportu, wypadku drogowego,
- rozpatrywać sytuację człowieka-operatora, szczególnie w aspekcie projektowania nowych lub oceny istniejących stanowisk pracy, &lt;br&gt;- stosować nowoczesne metody (aparatura, oprogramowanie) do pomiaru biomechanicznych parametrów ruchu ciała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 Zarys historii biomechaniki. 
- Analiza biomechaniczna układu ruchu człowieka (ujęcie systemowe). 
- Budowa, działanie, źródła energetyczne, praca, moc i sprawność mięśni szkieletowych. 
- Sterowanie mięśniami szkieletowymi. 
- Biomechanika tkanki kostnej; adaptacja funkcjonalna kości. 
- Elektromiografia (emg). 
- Współdziałanie mięśni. 
- Modelowanie i symulacja komputerowa układu ruchu człowieka dla potrzeb ergonomii, medycyny i sportu. 
- Podstawowe problemy biomechaniki pracy, projektowanie i ergonomia, ocena stanowisk pracy, biomechanika zderzeń, ocena i symulacja skutków wypadków drogowych. 
- Zastosowanie zasad modelowania matematycznego, optymalizacji i teorii sterowania do badania złożonych układów biologicznych, szczególnie w aspekcie wykorzystania wynikających z nich inspiracji do budowy robotów i manipulatorów. 
- Miernictwo biomechanicznych parametrów ruchu człowieka (siły, przemieszczenia, emg) za pomocą specjalistycznej aparatury.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ZNK305_W1: </w:t>
      </w:r>
    </w:p>
    <w:p>
      <w:pPr/>
      <w:r>
        <w:rPr/>
        <w:t xml:space="preserve">							Student ma podstawową wiedzę z zakresu historii biomechaniki na tle historii rozwoju nauki, ze szczególnym uwzględnieniem jej interdyscyplinarnego charakteru i wspólczesnego znaczenia w naukach technicznych.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ZNK305_W2: </w:t>
      </w:r>
    </w:p>
    <w:p>
      <w:pPr/>
      <w:r>
        <w:rPr/>
        <w:t xml:space="preserve">							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ZNK305_W3: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ZNK305_W4: </w:t>
      </w:r>
    </w:p>
    <w:p>
      <w:pPr/>
      <w:r>
        <w:rPr/>
        <w:t xml:space="preserve">Student ma wiedzę w zakresie zasad rejestracji, przetwarzania i interpretacji sygnałów biologicznych w dziedzinach czasu i częstotliwości.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ZNK305_W5: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M1_W10, 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ZNK305_U1: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ZNK305_U3: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M1_U11, M1_U15, 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ZNK305_U4: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ZNK305_K1: </w:t>
      </w:r>
    </w:p>
    <w:p>
      <w:pPr/>
      <w:r>
        <w:rPr/>
        <w:t xml:space="preserve">Student 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2026-10-02T02:26:58+02:00</dcterms:created>
  <dcterms:modified xsi:type="dcterms:W3CDTF">2026-10-02T02:26:58+02:00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