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 – 15 godz.,
b)	ćwiczenia – 15 godz.,
c)	laboratoria – 15 godz.,
d)	konsultacje – 5 godz.
2.	Praca własna studenta: 50 godzin, w tym:
a)	realizacja pracy domowej, polegającej  na dokonaniu analizy kinematycznej mechanizmu przy pomocy samodzielnie napisanego programu (w środowisku MATLAB-a) oraz z wykorzystaniem profesjonalnego pakietu do obliczeń metodą układów wieloczłonowych (ADAMS-a) – 35 godzin, 
b)	przygotowywanie się do testu zaliczeniowego – 15 godzin.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	wykład – 15 godz.,
b)	ćwiczenia – 15 godz.,
c)	laboratoria – 15 godz.,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• Położenie i orientacja członów w przestrzeni. Matematyczny opis układu wieloczłonowego w różnych współrzędnych.
• Ruchliwość i więzy nadmiarowe. Niezależność więzów, usuwanie więzów nadmiarowych. 
• Pary kinematyczne i równania więzów. Więzy kierujące. Obliczanie macierzy Jacobiego. 
• Sformułowanie i rozwiązanie zagadnienia kinematyki. Składanie mechanizmu. Konfiguracje osobliwe. 
• Algorytm i struktura programu do zautomatyzowanej analizy kinematycznej mechanizmów.
• Siły i momenty sił. Równania ruchu członu sztywnego.
• Równania ruchu układu wieloczłonowego. Reakcje więzów.
• Zadania odwrotne i proste dynamiki. Stabilizacja więzów. Struktura programu do zautomatyzowanej analizy dynamicznej mechanizmów.
• Metody całkowania równań ruchu w postaci RRZ (równań różniczkowych zwyczajnych) i RRA (równań różniczkowo-algebraicznych).
Laboratoria:
• Wprowadzenie do modelowania kinematyki i dynamiki układów wieloczłonowych. Podstawy obsługi pakietu ADAMS. 
• Modelowanie członów i par kinematycznych.
• Modelowanie sił. Uruchamianie symulacji. Przetwarzanie i prezentacja wyników.
• Parametryzacja modelu układu wieloczłonowego. Obliczenia optymalizacyjne.
• Podstawy modelowania sił kontaktu. Wykorzystanie funkcji stanu.
• Modelowanie mechanizmu krzywkowego. Zaawansowane modelowanie sił kontaktu.
• Analiza mechanizmów z więzami nadmiarowymi. Wyznaczanie reakcji w parach kinematycznych.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własna: praca domowa, polegająca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ML.NK313_U4: </w:t>
      </w:r>
    </w:p>
    <w:p>
      <w:pPr/>
      <w:r>
        <w:rPr/>
        <w:t xml:space="preserve">Student potrafi przeprowadzić analizę dynamiczną prostych mechanizmów z wykorzystaniem współczesnych narzędzi projektowania i analizy.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MiBM2_U04,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ML.NK313_K1: </w:t>
      </w:r>
    </w:p>
    <w:p>
      <w:pPr/>
      <w:r>
        <w:rPr/>
        <w:t xml:space="preserve">Student ma świadomość współodpowiedzialności za zadania realizowane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2026-09-30T18:09:49+02:00</dcterms:created>
  <dcterms:modified xsi:type="dcterms:W3CDTF">2026-09-30T18:09:49+02:00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