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Marta Poćwierz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ML.NK481A_W1: </w:t>
      </w:r>
    </w:p>
    <w:p>
      <w:pPr/>
      <w:r>
        <w:rPr/>
        <w:t xml:space="preserve">Zna pojęcia teorii równań różniczkowych cząstkowych: liniowego, prawie liniowegi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ML.NK481A_W2: </w:t>
      </w:r>
    </w:p>
    <w:p>
      <w:pPr/>
      <w:r>
        <w:rPr/>
        <w:t xml:space="preserve">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ML.NK481A_W3: </w:t>
      </w:r>
    </w:p>
    <w:p>
      <w:pPr/>
      <w:r>
        <w:rPr/>
        <w:t xml:space="preserve">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ML.NK481A_W4: </w:t>
      </w:r>
    </w:p>
    <w:p>
      <w:pPr/>
      <w:r>
        <w:rPr/>
        <w:t xml:space="preserve">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2026-09-30T17:54:45+02:00</dcterms:created>
  <dcterms:modified xsi:type="dcterms:W3CDTF">2026-09-30T17:54:45+02:00</dcterms:modified>
</cp:coreProperties>
</file>

<file path=docProps/custom.xml><?xml version="1.0" encoding="utf-8"?>
<Properties xmlns="http://schemas.openxmlformats.org/officeDocument/2006/custom-properties" xmlns:vt="http://schemas.openxmlformats.org/officeDocument/2006/docPropsVTypes"/>
</file>