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- 15 godz.,
b) ćwiczenia - 15 godz.,
c) laboratorium -15 godz.
d) konsultacje  -  5 godz.
2. Praca własna studenta - 75 godz., w tym:
a) zadania domowe (analiza MES typowej konstrukcji cienkościennej) - 30 godz.
b) przygotowanie do kolokwiów - 20 godz.,
c) przygotowanie do laboratoriów - 25 godz.
Razem -125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- 15 godz.,
b) ćwiczenia - 15 godz.,
c) laboratorium -15 godz.
d) konsultacje 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w tym:
a) przygotowanie do laboratoriów - 25 godz.
b) laboratorium -15 godz.
c) konsultacje  - 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metod elementów skończonych oraz wytrzymałości konstrukcji.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zadaniowe),ocena  wykonywanych zadań  przez studenta  w ramach laboratorium MES-ANSYS, zadania domowe - analiza MES typowej konstrukcji cienkościennej.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 Zagrajek T.,Krzesiński G., Marek P. : Metoda Elementów Skończonych w Mechanice Konstrukcji - Ćwiczenia z zastosowaniem systemu ANSYS, Oficyna Wydawnicza Politechniki Warszawskiej, Warszawa, 2005. 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ML.NS642_W1: </w:t>
      </w:r>
    </w:p>
    <w:p>
      <w:pPr/>
      <w:r>
        <w:rPr/>
        <w:t xml:space="preserve">							Zna  strukturę konstrukcji cienkościennych, założenia technicznej teorii powłok o małej wyniosłości oraz jakościowo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2026-06-17T15:25:48+02:00</dcterms:created>
  <dcterms:modified xsi:type="dcterms:W3CDTF">2026-06-17T15:25:48+02:00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