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kontaktowych: 50, w tym:
a) udział w wykładach - 30 godz.,
b) udział w ćwiczeniach laboratoryjnych komputerowych - 15 godz.,
c) konsultacje - 5 godz.
2) Praca własna studenta - 55 godz., w tym:
a) bieżące przygotowywanie się do zajęć, studia literaturowe. - 15 godz.,
b) przygotowanie się do kolokwiów, testu zaliczeniowego  - 20 godz.,
c) przygotowanie raportów z laboratorium - 20 godz.
Razem - 105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udział w wykładach - 30 godz.,
b) udział w ćwiczeniach laboratoryjnych komputerowych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godz., przygotowanie raportów z laboratorium: 15 godz. Razem: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wytrzymałości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
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Zagrajek T., Krzesiński G., Marek P.: Metoda elementów skończonych w mechanice konstrukcji, Oficyna Wydawnicza Politechniki Warszawskiej, Warszawa, 2006.
Dodatkowe literatura:
1. Huebner K.H., Dewhirst D.L., Smith D.E., Byrom T.G.: The finite element method for engineers, J. Wiley &amp; Sons, Inc., 2001.
2. Saeed Moaveni: Finite Element Analysis. Theory and Application with ANSYS, Paerson Ed. 2003.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ML.NK342_W1: </w:t>
      </w:r>
    </w:p>
    <w:p>
      <w:pPr/>
      <w:r>
        <w:rPr/>
        <w:t xml:space="preserve">																					Ma podstawową wiedzę dotyczącą budowania macierzy sztywności elementów skończonych.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LiK2_W10,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keepNext w:val="1"/>
        <w:spacing w:after="10"/>
      </w:pPr>
      <w:r>
        <w:rPr>
          <w:b/>
          <w:bCs/>
        </w:rPr>
        <w:t xml:space="preserve">Efekt ML.NK342_W2: </w:t>
      </w:r>
    </w:p>
    <w:p>
      <w:pPr/>
      <w:r>
        <w:rPr/>
        <w:t xml:space="preserve">																					Zna ogólne zasady budowy układów równań MES dla zagadnień statycznej analizy naprężeń.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LiK2_W10,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keepNext w:val="1"/>
        <w:spacing w:after="10"/>
      </w:pPr>
      <w:r>
        <w:rPr>
          <w:b/>
          <w:bCs/>
        </w:rPr>
        <w:t xml:space="preserve">Efekt ML.NK342_W3: </w:t>
      </w:r>
    </w:p>
    <w:p>
      <w:pPr/>
      <w:r>
        <w:rPr/>
        <w:t xml:space="preserve">														Zna schemat działania typowego programu MES.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i testu na laboratorium komputerowym.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LiK2_W10,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ML.NK342_U1: </w:t>
      </w:r>
    </w:p>
    <w:p>
      <w:pPr/>
      <w:r>
        <w:rPr/>
        <w:t xml:space="preserve">							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ML.NK342_U2: </w:t>
      </w:r>
    </w:p>
    <w:p>
      <w:pPr/>
      <w:r>
        <w:rPr/>
        <w:t xml:space="preserve">														Potrafi samodzielnie zbudować trójwymiarowy, liniowy model MES (ANSYS) konstrukcji,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ML.NK342_U3: </w:t>
      </w:r>
    </w:p>
    <w:p>
      <w:pPr/>
      <w:r>
        <w:rPr/>
        <w:t xml:space="preserve">														Potrafi samodzielnie liniowy model MES (ANSYS) konstrukcji powłokowej,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ML.NK342_U4: </w:t>
      </w:r>
    </w:p>
    <w:p>
      <w:pPr/>
      <w:r>
        <w:rPr/>
        <w:t xml:space="preserve">														Potrafi samodzielnie zbudować i rozwiązać prosty liniowy model MES konstrukcji prętowej dla zadanych warunków obciążenia i podparcia (pręt rozciągany, belka, kratownica, rama).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ML.NK342_U5: </w:t>
      </w:r>
    </w:p>
    <w:p>
      <w:pPr/>
      <w:r>
        <w:rPr/>
        <w:t xml:space="preserve">														Potrafi wyznaczyć zastępcze obciążenie węzłowe w prętowym i płaskim elemencie skończonym dla prostego przypadku obciążenia.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2025-07-09T05:59:42+02:00</dcterms:created>
  <dcterms:modified xsi:type="dcterms:W3CDTF">2025-07-09T05:59:42+02:00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