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wykładach - 15 godz.,
b) udział w zajęciach  projektowych  - 15 godz.,
c) konsultacje - 3 godz.
2. Praca własna studenta - 20 godzin, w tym:
a) praca własna polegająca na przygotowaniu do kolokwium - 5  godz.,
b) praca własna w domu związana z przeglądem literatury, opanowaniem wiedzy dostarczonej na wykładzie oraz wykonaniem projektu - 15 godz.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zajęciach  projektowych 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ML.NS637_W1: </w:t>
      </w:r>
    </w:p>
    <w:p>
      <w:pPr/>
      <w:r>
        <w:rPr/>
        <w:t xml:space="preserve">Posiada wiedzę z zakresu modelowania i badania właściwości dynamicznych samolotów na potrzeby projektowania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LiK2_W11,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LiK2_W12, 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LiK2_U08, LiK2_U09,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LiK2_U10, LiK2_U15,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LiK2_U11, LiK2_U12,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T2A_U12, T2A_U19</w:t>
      </w:r>
    </w:p>
    <w:p>
      <w:pPr>
        <w:keepNext w:val="1"/>
        <w:spacing w:after="10"/>
      </w:pPr>
      <w:r>
        <w:rPr>
          <w:b/>
          <w:bCs/>
        </w:rPr>
        <w:t xml:space="preserve">Efekt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LiK2_U08, LiK2_U09, LiK2_U10,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T2A_U08, T2A_U09, T2A_U10,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2026-07-29T10:02:36+02:00</dcterms:created>
  <dcterms:modified xsi:type="dcterms:W3CDTF">2026-07-29T10:02:36+02:00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