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 i identyfikacja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 – 50 godzin, w tym:
a) 10 godz. – bieżące przygotowanie się do zajęć, studia literaturowe - 15 godz.,
b) 10 godz. – przygotowywanie się do kolokwiów, egzaminu - 15 godz.,
c) 20 - realizacja projektu: model matematyczny kotła odzysknicowego (jedno i dwu ciśnieniowy) turbiny parowej, bloku parowego o uproszczonej strukturze oraz model opróżnianego zbiornika z gazem.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i rozwiązywania prostych modeli matematycznych urządzeń i instalacji energetycznych. Znajomość zastosowań modelowania matematycznego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etapy działań, których celem jest identyfikacja procesu: opracowanie modelu fenomenologicznego (schematu zastępczego), sformułowanie modelu matematycznego, identyfikacja modelu oraz symulacja procesów (rozwiązanie modelu). Zasady tworzenia schematów zastępczych, schematy zastępcze typowych  maszyn, urządzeń i instalacji energetycznych. Modele rozwinięte (analityczne) i aproksymacyjne.  Modele dla stanów ustalonych i nieustalonych Podstawowe równania rozwiniętych modeli matematycznych głównych elementów instalacji energetycznej. Metody identyfikacji modeli. Metody rozwiązywania modeli dla stanów ustalonych i nieustalonych. Zastosowania modelowania matematycznego w eksploatacji: optymalizacja rozkładu obciążeń, symulatory.
W  ramach ćwiczeń opracowywany jest model matematyczny kotła odzysknicowego (jedno i dwu ciśnieniowy) turbiny parowej, bloku parowego o uproszczonej strukturze oraz model opróżnianego zbiornika z gazem.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ocena projektu. Egzamin końcowy w przypadku negatywnych lub niezadowalających ocen z kolokwiów.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stronie przedmiotu.
2.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ML.NK486_U2: </w:t>
      </w:r>
    </w:p>
    <w:p>
      <w:pPr/>
      <w:r>
        <w:rPr/>
        <w:t xml:space="preserve">Potrafi tworzyć złożone modele instalacji energetycznych dla celów bilansowania i analizy parametrów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ML.NK486_U2: </w:t>
      </w:r>
    </w:p>
    <w:p>
      <w:pPr/>
      <w:r>
        <w:rPr/>
        <w:t xml:space="preserve">Potrafi tworzyć złożone modele instalacji energetycznych dla celów bilansowania i analizy parametrów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ML.NK486_K1: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ML.NK486_K1: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2026-09-30T20:09:11+02:00</dcterms:created>
  <dcterms:modified xsi:type="dcterms:W3CDTF">2026-09-30T20:09:11+02:00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