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Hybrydowe w Energetyce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Jarosław Milewski,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ML.NS581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15, udział w wykładach.
2) Praca własna – 15 godzin, w tym: rozwiązywanie zadań, przygotowywanie się do kolokwium zaliczeniowego.
Razem - 30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- 15 godzin udziału w wykładach.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będzie potrafił zdefiniować oraz określić podstawowe parametry pracy oraz osiągi układów hybrydowych stosowanych lub przewidzianych do zastosowania w przyszłości w energetyce i nie tylko. Student posiądzie ogólną wiedzę z zakresu układów hybrydowych stosowanych obecnie w energetyce oraz przewidzianych jako perspektywiczne.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Możliwości stosowania układów hybrydowych w małej i średniej energetyce. Układy gazowo-parowe. Układy z magazynowaniem energii elektrycznej. Układy hybrydowe w energetyce jądrowej. Układy pompy ciepła - kocioł gazowy lub olejowy, układy ogniwa paliwowe - system energetyczny z kotłem gazowym lub olejowym. Układy siłowni wiatrowych z fotoogniwami. Mała energetyka oraz układ fotowoltaiczne. Ocena przydatności systemów hybrydowych, perspektywy i koszty ich zastosowania.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Obecność i czynne uczestnictwo na zajęciach. Kolokwium zaliczeniowe.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zostały przygotowane i będą prowadzone z wykorzystaniem innowacyjnych i kreatywnych form kształcenia.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ML.NS581_W1: </w:t>
      </w:r>
    </w:p>
    <w:p>
      <w:pPr/>
      <w:r>
        <w:rPr/>
        <w:t xml:space="preserve">Zna nowoczesne technologie energetyczne, m.in. ogniwa paliwowe.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E2_W08, E2_W09, E2_W10, E2_W14, E2_W15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T2A_W04, T2A_W05, T2A_W04, T2A_W05, T2A_W05, T2A_W06</w:t>
      </w:r>
    </w:p>
    <w:p>
      <w:pPr>
        <w:keepNext w:val="1"/>
        <w:spacing w:after="10"/>
      </w:pPr>
      <w:r>
        <w:rPr>
          <w:b/>
          <w:bCs/>
        </w:rPr>
        <w:t xml:space="preserve">Efekt ML.NS581_W2: </w:t>
      </w:r>
    </w:p>
    <w:p>
      <w:pPr/>
      <w:r>
        <w:rPr/>
        <w:t xml:space="preserve">Zna układy hybrydowe wykorzystywane we współczesnej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E2_W09, E2_W12, E2_W14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T2A_W04, T2A_W05, T2A_W05</w:t>
      </w:r>
    </w:p>
    <w:p>
      <w:pPr>
        <w:keepNext w:val="1"/>
        <w:spacing w:after="10"/>
      </w:pPr>
      <w:r>
        <w:rPr>
          <w:b/>
          <w:bCs/>
        </w:rPr>
        <w:t xml:space="preserve">Efekt ML.NS581_W3: </w:t>
      </w:r>
    </w:p>
    <w:p>
      <w:pPr/>
      <w:r>
        <w:rPr/>
        <w:t xml:space="preserve">Zna kierunki rozwoju nowych technologii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ML.NS581_U1: </w:t>
      </w:r>
    </w:p>
    <w:p>
      <w:pPr/>
      <w:r>
        <w:rPr/>
        <w:t xml:space="preserve">Umie opisać układy hybrydowe w energetyce.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E2_U17, E2_U23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T2A_U14, T2A_U17, T2A_U18, T2A_U19</w:t>
      </w:r>
    </w:p>
    <w:p>
      <w:pPr>
        <w:keepNext w:val="1"/>
        <w:spacing w:after="10"/>
      </w:pPr>
      <w:r>
        <w:rPr>
          <w:b/>
          <w:bCs/>
        </w:rPr>
        <w:t xml:space="preserve">Efekt ML.NS581_U2: </w:t>
      </w:r>
    </w:p>
    <w:p>
      <w:pPr/>
      <w:r>
        <w:rPr/>
        <w:t xml:space="preserve">Przedmiot prowadzony z wykorzystaniem metody Design Thinking. Potrafi dobrać podstawowe urządzenia do układu energetycznego i ocenić ich parametry.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E2_U14, E2_U17, E2_U19, E2_U25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T2A_U11, T2A_U14, T2A_U15, T2A_U15, T2A_U16, T2A_U19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2025-05-06T23:10:39+02:00</dcterms:created>
  <dcterms:modified xsi:type="dcterms:W3CDTF">2025-05-06T23:10:39+02:00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