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matematyczne i identyfikacja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– 15 godz.,
c) konsultacje – 5 godz.
2. Praca własna studenta – 50 godzin, w tym:
a) 10 godz. – bieżące przygotowanie się do zajęć, studia literaturowe - 15 godz.,
b) 10 godz. – przygotowywanie się do kolokwiów, egzaminu - 15 godz.,
c) 20 - realizacja projektu: model matematyczny kotła odzysknicowego (jedno i dwu ciśnieniowy) turbiny parowej, bloku parowego o uproszczonej strukturze oraz model opróżnianego zbiornika z gazem.
Razem: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i rozwiązywania prostych modeli matematycznych urządzeń i instalacji energetycznych. Znajomość zastosowań modelowania matematycznego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etapy działań, których celem jest identyfikacja procesu: opracowanie modelu fenomenologicznego (schematu zastępczego), sformułowanie modelu matematycznego, identyfikacja modelu oraz symulacja procesów (rozwiązanie modelu). Zasady tworzenia schematów zastępczych, schematy zastępcze typowych  maszyn, urządzeń i instalacji energetycznych. Modele rozwinięte (analityczne) i aproksymacyjne.  Modele dla stanów ustalonych i nieustalonych Podstawowe równania rozwiniętych modeli matematycznych głównych elementów instalacji energetycznej. Metody identyfikacji modeli. Metody rozwiązywania modeli dla stanów ustalonych i nieustalonych. Zastosowania modelowania matematycznego w eksploatacji: optymalizacja rozkładu obciążeń, symulatory.
W  ramach ćwiczeń opracowywany jest model matematyczny kotła odzysknicowego (jedno i dwu ciśnieniowy) turbiny parowej, bloku parowego o uproszczonej strukturze oraz model opróżnianego zbiornika z gazem.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ocena projektu. Egzamin końcowy w przypadku negatywnych lub niezadowalających ocen z kolokwiów.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na stronie przedmiotu.
2.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ML.NK486_W1: </w:t>
      </w:r>
    </w:p>
    <w:p>
      <w:pPr/>
      <w:r>
        <w:rPr/>
        <w:t xml:space="preserve">Posiada zaawansowaną wiedzę dotyczącą modelowania procesów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E2_W06, E2_W11,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ML.NK486_W2: </w:t>
      </w:r>
    </w:p>
    <w:p>
      <w:pPr/>
      <w:r>
        <w:rPr/>
        <w:t xml:space="preserve">Posiada wiedzę o zasadach identyfikacji modeli.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E2_W06, 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ML.NK486_U1: </w:t>
      </w:r>
    </w:p>
    <w:p>
      <w:pPr/>
      <w:r>
        <w:rPr/>
        <w:t xml:space="preserve">Umie dokonać procesu identyfikacji i stworzyć model matematyczny urządzenia.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E2_U10, E2_U13, E2_U14, E2_U18, E2_U21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T2A_U10, T2A_U11, T2A_U10, T2A_U15, T2A_U17</w:t>
      </w:r>
    </w:p>
    <w:p>
      <w:pPr>
        <w:keepNext w:val="1"/>
        <w:spacing w:after="10"/>
      </w:pPr>
      <w:r>
        <w:rPr>
          <w:b/>
          <w:bCs/>
        </w:rPr>
        <w:t xml:space="preserve">Efekt ML.NK486_U2: </w:t>
      </w:r>
    </w:p>
    <w:p>
      <w:pPr/>
      <w:r>
        <w:rPr/>
        <w:t xml:space="preserve">Potrafi tworzyć złożone modele instalacji energetycznych dla celów bilansowania i analizy parametrów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T2A_U14, T2A_U10, T2A_U15</w:t>
      </w:r>
    </w:p>
    <w:p>
      <w:pPr>
        <w:keepNext w:val="1"/>
        <w:spacing w:after="10"/>
      </w:pPr>
      <w:r>
        <w:rPr>
          <w:b/>
          <w:bCs/>
        </w:rPr>
        <w:t xml:space="preserve">Efekt ML.NK486_U3: </w:t>
      </w:r>
    </w:p>
    <w:p>
      <w:pPr/>
      <w:r>
        <w:rPr/>
        <w:t xml:space="preserve">Umie stosować oprogramowanie i systemy informatyczne dla modelowania i identyfikacji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E2_U13, E2_U18,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T2A_U10, T2A_U15,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ML.NK486_K1: </w:t>
      </w:r>
    </w:p>
    <w:p>
      <w:pPr/>
      <w:r>
        <w:rPr/>
        <w:t xml:space="preserve">Potrafi pracować indywidualnie i w grupie, wykonać własny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E2_K03, E2_K04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2025-07-07T14:54:30+02:00</dcterms:created>
  <dcterms:modified xsi:type="dcterms:W3CDTF">2025-07-07T14:54:30+02:00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