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Zna zasady wymiarowania pomp ciepła i dobór źródeł ciepła.</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 E1_W20</w:t>
      </w:r>
    </w:p>
    <w:p>
      <w:pPr>
        <w:spacing w:before="20" w:after="190"/>
      </w:pPr>
      <w:r>
        <w:rPr>
          <w:b/>
          <w:bCs/>
        </w:rPr>
        <w:t xml:space="preserve">Powiązane efekty obszarowe: </w:t>
      </w:r>
      <w:r>
        <w:rPr/>
        <w:t xml:space="preserve">T1A_W04, T1A_W07, T1A_W04, T1A_W07, T1A_W04</w:t>
      </w:r>
    </w:p>
    <w:p>
      <w:pPr>
        <w:keepNext w:val="1"/>
        <w:spacing w:after="10"/>
      </w:pPr>
      <w:r>
        <w:rPr>
          <w:b/>
          <w:bCs/>
        </w:rPr>
        <w:t xml:space="preserve">Efekt ML.NS540_W2: </w:t>
      </w:r>
    </w:p>
    <w:p>
      <w:pPr/>
      <w:r>
        <w:rPr/>
        <w:t xml:space="preserve">Zna podstawy teoretyczne działania pomp ciepła, rodzaje, własności czynników roboczych.</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 E1_W24</w:t>
      </w:r>
    </w:p>
    <w:p>
      <w:pPr>
        <w:spacing w:before="20" w:after="190"/>
      </w:pPr>
      <w:r>
        <w:rPr>
          <w:b/>
          <w:bCs/>
        </w:rPr>
        <w:t xml:space="preserve">Powiązane efekty obszarowe: </w:t>
      </w:r>
      <w:r>
        <w:rPr/>
        <w:t xml:space="preserve">T1A_W03, T1A_W04, T1A_W07, T1A_W03, T1A_W04, T1A_W07, T1A_W03, T1A_W07, T1A_W03, T1A_W04, T1A_W07, T1A_W04, T1A_W07, T1A_W05</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E1_W24</w:t>
      </w:r>
    </w:p>
    <w:p>
      <w:pPr>
        <w:spacing w:before="20" w:after="190"/>
      </w:pPr>
      <w:r>
        <w:rPr>
          <w:b/>
          <w:bCs/>
        </w:rPr>
        <w:t xml:space="preserve">Powiązane efekty obszarowe: </w:t>
      </w:r>
      <w:r>
        <w:rPr/>
        <w:t xml:space="preserve">T1A_W03, T1A_W03, T1A_W04, T1A_W07, T1A_W03, T1A_W04, T1A_W07, T1A_W03, T1A_W07, T1A_W03, T1A_W04, T1A_W07, T1A_W04, T1A_W07, T1A_W05</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Posiada umiejętność stworzenia koncepcji technicznej systemów grzewczych z pompą ciepła skojarzoną z analizą ekonomiczną.</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E1_U02, E1_U03, E1_U07, E1_U14, E1_U15, E1_U16, E1_U17, E1_U22, E1_U27</w:t>
      </w:r>
    </w:p>
    <w:p>
      <w:pPr>
        <w:spacing w:before="20" w:after="190"/>
      </w:pPr>
      <w:r>
        <w:rPr>
          <w:b/>
          <w:bCs/>
        </w:rPr>
        <w:t xml:space="preserve">Powiązane efekty obszarowe: </w:t>
      </w:r>
      <w:r>
        <w:rPr/>
        <w:t xml:space="preserve">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E1_U01, E1_U03, E1_U07, E1_U17, E1_U22, E1_U28, E1_U29</w:t>
      </w:r>
    </w:p>
    <w:p>
      <w:pPr>
        <w:spacing w:before="20" w:after="190"/>
      </w:pPr>
      <w:r>
        <w:rPr>
          <w:b/>
          <w:bCs/>
        </w:rPr>
        <w:t xml:space="preserve">Powiązane efekty obszarowe: </w:t>
      </w:r>
      <w:r>
        <w:rPr/>
        <w:t xml:space="preserve">T1A_U01, 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Potrafi przeprowadzić analizę techniczną i ekonomiczną możliwości współpracy systemów grzewczych mono i biwalentnych z pompą ciepła przy wykorzystaniu innych odnawialnych  i konwencjonalnych urządzeń/ źródeł ciepła.</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2026-07-28T18:59:22+02:00</dcterms:created>
  <dcterms:modified xsi:type="dcterms:W3CDTF">2026-07-28T18:59:22+02:00</dcterms:modified>
</cp:coreProperties>
</file>

<file path=docProps/custom.xml><?xml version="1.0" encoding="utf-8"?>
<Properties xmlns="http://schemas.openxmlformats.org/officeDocument/2006/custom-properties" xmlns:vt="http://schemas.openxmlformats.org/officeDocument/2006/docPropsVTypes"/>
</file>