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Mirski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30, w tym: 
a)  udział w wykładach - 15 godz.;
b) udział w ćwiczeniach - 15 godz.
2)  Praca własna studenta - 25 godzin, w tym:
a) przygotowywanie się do ćwiczeń, wykonywanie rysunków - 15 godzin;
b) przygotowywanie się do sprawdzianów  i kolokwium- 10 godzin.
RAZEM: 55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- 30 godzin, w tym:
a)  udział w wykładach - 15 godz.;
b) udział w ćwiczeniach - 15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- 50 godz., w tym:
a)  udział w wykładach - 15 godz.;
b) udział w ćwiczeniach - 15 godz.
c) przygotowywanie się do ćwiczeń, wykonywanie rysunków - 15 godzin;
d) przygotowywanie się do sprawdzianów - 10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 w zakresie geometrii.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 studentów na wykładzie, 30 studentów na ćwiczeniach w ramach jednej grupy.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 rzutowania prostokątnego. Wyrobienie wyobraźni przestrzennej. Racjonalne gospodarowanie przestrzenią.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rysunku aksonometrycznego. Odwzorowanie prostych elementów geometrycznych i relacji zachodzących pomiędzy nimi, przy wykorzystaniu metod geometrii wykreślnej (Rzuty Monge’a). Metoda transformacji rzutni. Odwzorowanie obrotów. Odwzorowanie brył graniastych i obrotowych. Przekroje i punkty przebicia powierzchni. Linie przenikania powierzchni. Tworzenie, przy wykorzystaniu systemu CAD-3D, złożonych form przestrzennych w oparciu o płaskie figury geometryczne.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sprawdzianów i kolokwium, prac wykonywanych przez studentów w laboratorium  oraz prac domowych. Praca własna: wykonanie rysunku aksonometrycznego.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Wacław Mierzejewski – Geometria Wykreślna.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wymaga systematycznej pracy w ciągu semestru.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ML.NW105_W1: </w:t>
      </w:r>
    </w:p>
    <w:p>
      <w:pPr/>
      <w:r>
        <w:rPr/>
        <w:t xml:space="preserve">Zna podstawy tworzenia rysunku aksonometrycznego.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 studenta rysunku aksonometrycznego w ramach laboratorium oraz w ramach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keepNext w:val="1"/>
        <w:spacing w:after="10"/>
      </w:pPr>
      <w:r>
        <w:rPr>
          <w:b/>
          <w:bCs/>
        </w:rPr>
        <w:t xml:space="preserve">Efekt ML.NW105_W2: </w:t>
      </w:r>
    </w:p>
    <w:p>
      <w:pPr/>
      <w:r>
        <w:rPr/>
        <w:t xml:space="preserve">Zna zasady odwzorowania elementów geometrycznych na kilku rzutniach.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keepNext w:val="1"/>
        <w:spacing w:after="10"/>
      </w:pPr>
      <w:r>
        <w:rPr>
          <w:b/>
          <w:bCs/>
        </w:rPr>
        <w:t xml:space="preserve">Efekt ML.NW105_W3: </w:t>
      </w:r>
    </w:p>
    <w:p>
      <w:pPr/>
      <w:r>
        <w:rPr/>
        <w:t xml:space="preserve">Zna zasady tworzenia i odwzorowania brył oraz powierzchni II-go stopnia.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keepNext w:val="1"/>
        <w:spacing w:after="10"/>
      </w:pPr>
      <w:r>
        <w:rPr>
          <w:b/>
          <w:bCs/>
        </w:rPr>
        <w:t xml:space="preserve">Efekt ML.NW105_W4: </w:t>
      </w:r>
    </w:p>
    <w:p>
      <w:pPr/>
      <w:r>
        <w:rPr/>
        <w:t xml:space="preserve">Ma podstawową wiedzę na temat wyznaczania linii przenikania.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ML.NW105_U1: </w:t>
      </w:r>
    </w:p>
    <w:p>
      <w:pPr/>
      <w:r>
        <w:rPr/>
        <w:t xml:space="preserve">Potrafi wykonać rysunek aksonometryczny.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rysunku aksonometrycznego w ramach laboratorium oraz w ramach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ML.NW105_U2: </w:t>
      </w:r>
    </w:p>
    <w:p>
      <w:pPr/>
      <w:r>
        <w:rPr/>
        <w:t xml:space="preserve">Potrafi odwzorować elementy geometryczne i relacje geometryczne zachodzące pomiędzy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ML.NW105_U3: </w:t>
      </w:r>
    </w:p>
    <w:p>
      <w:pPr/>
      <w:r>
        <w:rPr/>
        <w:t xml:space="preserve">Potrafi odwzorować obrót i przeprowadzić jego analizę.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ML.NW105_U4: </w:t>
      </w:r>
    </w:p>
    <w:p>
      <w:pPr/>
      <w:r>
        <w:rPr/>
        <w:t xml:space="preserve">Potrafi tworzyć i odwzorować powierzchnie II-go stopnia.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ML.NW105_U5: </w:t>
      </w:r>
    </w:p>
    <w:p>
      <w:pPr/>
      <w:r>
        <w:rPr/>
        <w:t xml:space="preserve">Potrafi wyznaczyć linie przenikania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2025-05-11T10:42:42+02:00</dcterms:created>
  <dcterms:modified xsi:type="dcterms:W3CDTF">2025-05-11T10:42:42+02:00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