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zajęcia projektowe - 30 godz.;
b) konsultacje - 3 godz.
2) Praca własna studenta - 32 godz., w tym:
a) przygotowywanie się do kolokwiów - 12 godz.;
b) praca nad projektem (prace domowe) - 20 godz.
Razem - 65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zajęcia projektowe - 30 godz.;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-  50, w tym:
a) zajęcia projektowe - 30 godz.;
b) praca nad projektem (prace domowe)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 analizę i projektowanie elementów wybranych turbinowych silników lotniczych.
Praktyczna ilustracja wykładu 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 związanych z projektowaniem lotniczego silnika turbinowego.
Praca własna: Zadania cząstkowe związane z projektowaniem lotniczego silnika turbinowego.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Łączności.
2. Czasopisma: Flight International, Aviation Week and Space Technology.
DodatkowA literatura:
- materiały na stronach producentów silników,
- Jane’s All the world aircraft,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ML.NS631_W1: </w:t>
      </w:r>
    </w:p>
    <w:p>
      <w:pPr/>
      <w:r>
        <w:rPr/>
        <w:t xml:space="preserve">Student zna zasady projektowania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ML.NS631_U1: </w:t>
      </w:r>
    </w:p>
    <w:p>
      <w:pPr/>
      <w:r>
        <w:rPr/>
        <w:t xml:space="preserve">Student potrafi samodzielnie analizować i konstruować  elementy wybranych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ML.NS631_U2: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ML.NS631_K1: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2026-09-30T15:27:24+02:00</dcterms:created>
  <dcterms:modified xsi:type="dcterms:W3CDTF">2026-09-30T15:27:24+02:00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