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zajęcia projektowe - 30 godz.;
b) konsultacje - 3 godz.
2) Praca własna studenta - 32 godz., w tym:
a) przygotowywanie się do kolokwiów - 12 godz.;
b) praca nad projektem (prace domowe) - 20 godz.
Razem - 65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zajęcia projektowe - 30 godz.;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-  50, w tym:
a) zajęcia projektowe - 30 godz.;
b) praca nad projektem (prace domowe)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 analizę i projektowanie elementów wybranych turbinowych silników lotniczych.
Praktyczna ilustracja wykładu 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 związanych z projektowaniem lotniczego silnika turbinowego.
Praca własna: Zadania cząstkowe związane z projektowaniem lotniczego silnika turbinowego.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Łączności.
2. Czasopisma: Flight International, Aviation Week and Space Technology.
DodatkowA literatura:
- materiały na stronach producentów silników,
- Jane’s All the world aircraft,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ML.NS631_W1: </w:t>
      </w:r>
    </w:p>
    <w:p>
      <w:pPr/>
      <w:r>
        <w:rPr/>
        <w:t xml:space="preserve">Student zna zasady projektowania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ML.NS631_U1: </w:t>
      </w:r>
    </w:p>
    <w:p>
      <w:pPr/>
      <w:r>
        <w:rPr/>
        <w:t xml:space="preserve">Student potrafi samodzielnie analizować i konstruować  elementy wybranych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ML.NS631_U2: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ML.NS631_K1: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2026-10-01T02:11:45+02:00</dcterms:created>
  <dcterms:modified xsi:type="dcterms:W3CDTF">2026-10-01T02:11:45+02:00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