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LiK1_U05, LiK1_U14, LiK1_U20</w:t>
      </w:r>
    </w:p>
    <w:p>
      <w:pPr>
        <w:spacing w:before="20" w:after="190"/>
      </w:pPr>
      <w:r>
        <w:rPr>
          <w:b/>
          <w:bCs/>
        </w:rPr>
        <w:t xml:space="preserve">Powiązane efekty obszarowe: </w:t>
      </w:r>
      <w:r>
        <w:rPr/>
        <w:t xml:space="preserve">T1A_U05, T1A_U10, T1A_U15</w:t>
      </w:r>
    </w:p>
    <w:p>
      <w:pPr>
        <w:keepNext w:val="1"/>
        <w:spacing w:after="10"/>
      </w:pPr>
      <w:r>
        <w:rPr>
          <w:b/>
          <w:bCs/>
        </w:rPr>
        <w:t xml:space="preserve">Efekt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LiK1_K02, LiK1_K06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2026-10-21T02:17:04+02:00</dcterms:created>
  <dcterms:modified xsi:type="dcterms:W3CDTF">2026-10-21T02:17:04+02:00</dcterms:modified>
</cp:coreProperties>
</file>

<file path=docProps/custom.xml><?xml version="1.0" encoding="utf-8"?>
<Properties xmlns="http://schemas.openxmlformats.org/officeDocument/2006/custom-properties" xmlns:vt="http://schemas.openxmlformats.org/officeDocument/2006/docPropsVTypes"/>
</file>