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ML.NS529_W1: </w:t>
      </w:r>
    </w:p>
    <w:p>
      <w:pPr/>
      <w:r>
        <w:rPr/>
        <w:t xml:space="preserve">																					Ma podstawową wiedzę z mechaniki kompozytowych materiałów i elementów konstrukcyjnych, należącej do współczesnej mechaniki ciała stałego i konstrukcji.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ML.NS529_W2: </w:t>
      </w:r>
    </w:p>
    <w:p>
      <w:pPr/>
      <w:r>
        <w:rPr/>
        <w:t xml:space="preserve">																					Ma podstawową wiedzę na temat wszystkich grup nowoczesnych materiałów z uwypukleniem ich zastosowań.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ML.NS529_W3: </w:t>
      </w:r>
    </w:p>
    <w:p>
      <w:pPr/>
      <w:r>
        <w:rPr/>
        <w:t xml:space="preserve">																					Zna teorie: klasyczną i zmodyfikowaną, dotyczące  analizy struktury laminatowej dźwigarów powierzchniowych.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ML.NS529_W4: </w:t>
      </w:r>
    </w:p>
    <w:p>
      <w:pPr/>
      <w:r>
        <w:rPr/>
        <w:t xml:space="preserve">							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ML.NS529_U1: </w:t>
      </w:r>
    </w:p>
    <w:p>
      <w:pPr/>
      <w:r>
        <w:rPr/>
        <w:t xml:space="preserve">																												Posiada umiejętność powiązania rzeczywistości z modelowaniem fizycznym i matematycznym na potrzeby obliczeń inżynierskich i badań naukowych.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ML.NS529_U2: </w:t>
      </w:r>
    </w:p>
    <w:p>
      <w:pPr/>
      <w:r>
        <w:rPr/>
        <w:t xml:space="preserve">																												Ma umiejętność operowania aparatem teorii sprężystości w makromechanice materiałów kompozytowych i elementów konstrukcyjnych, przy wykorzystaniu  niezbędnego wkładu modelowania w ramach mikromechaniki.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ML.NS529_U3: </w:t>
      </w:r>
    </w:p>
    <w:p>
      <w:pPr/>
      <w:r>
        <w:rPr/>
        <w:t xml:space="preserve">																					Potrafi wykonać analizę laminatu (składającego się z warstewek jednokierunkowo wzmocnionych ciągłymi włóknami), posługując się teoriami: klasyczną i zmodyfikowaną.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2026-06-25T09:53:46+02:00</dcterms:created>
  <dcterms:modified xsi:type="dcterms:W3CDTF">2026-06-25T09:53:46+02:00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