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Sławomir Kubacki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55, w tym:
a)	wykład – 30 godz.,
b)	laboratorium – 15 godz.,
c)	konsultacje – 10 godz.
Praca własna studenta – 20 godzin, w tym:
a)	10 godz. –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liczba godzin kontaktowych: 55, w tym:
a)	wykład – 30 godz.,
b)	laboratoria – 15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godzin,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przedmiotów: "Mechanika płynów I", "Mechanika płynów III" , "Informatyka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 limitu,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
W części laboratoryjnej przedmiotu używany jest program ANSYS Fluent.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materiały na stronie http://c-cfd.meil.pw.edu.pl.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ML.NK348_U1: </w:t>
      </w:r>
    </w:p>
    <w:p>
      <w:pPr/>
      <w:r>
        <w:rPr/>
        <w:t xml:space="preserve">							Potrafi zdyskretyzować i rozwiązać proste zagadnienie brzegowe.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MiBM1_U14,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2026-10-01T14:18:42+02:00</dcterms:created>
  <dcterms:modified xsi:type="dcterms:W3CDTF">2026-10-01T14:18:42+02:00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