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kryzysowe w organizacji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Grzegorz Kunikowski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Bezpieczeństwo i zarządzanie ciągłością działania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52h = 10h (wykład) + 10h (ćwiczenia) + 2h (konsultacje) + 10h (przygotowanie do ćwiczeń) + 10h (studia literaturowe) +10h (przygotowanie do zaliczenia wykładu)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0,9 ECTS: 10h (wykład) + 10h (ćwiczenia) + 2h (konsultacje)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 5 ECTS: 10h (ćwiczenia) + 2h (konsultacje) + 10h (przygotowanie do ćwiczeń) + 10h (studia literaturowe) +10h (przygotowanie do zaliczenia wykładu)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 posiadał:
- podstawową wiedzę teoretyczną o zarządzaniu kryzysowym w organizacji
- potrafił identyfikować źródła, czynniki wywołujące kryzys,
- rozumiał procesy przebiegu sytuacji kryzysowych,
- potrafił zaprojektować prosty plan ciągłości działania.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Zarządzanie kryzysowe w naukach o zarządzaniu, Źródła kryzysu, Symptomy kryzysu, Czynniki wywołujące kryzys, Sytuacja kryzysowa, Wewnętrzne i zewnętrzne przyczyny kryzysu, Przebieg sytuacji kryzysowej, Proces zarządzania kryzysowego, Zmiany strategii działania w warunkach kryzysu.
Ćwiczenia: Plany ciągłości działania, Narzędzia informatyczne wspierające zarządzanie kryzysowe.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ocena aktywności,  test zaliczeniowy.
 2. Ocena sumatywna : zaliczenie wykładów na podstawie pozytywnej oceny aktywności na zajęciach oraz pozytywnej oceny z testu końcowego.
B. Ćwiczenia: 
1. Ocena formatywna: interaktywna forma prowadzonych ćwiczeń, praca w zespołach nad projektem
2. Ocena sumatywna: realizacja projektu/ocena projektu.
C. Końcowa ocena z przedmiotu: jest średnią oceną z testu zaliczeniowego z wykładów i oceny projektu.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Kosieradzka A., Zawiła-Niedźwiecki J., (red.) Zaawansowana metodyka oceny ryzyka w publicznym zarządzaniu kryzysowym, edu-Libri, Kraków-Warszawa, 2016
Grocki, R. Zarządzanie kryzysowe : Dobre praktyki. Warszawa: Difin, 2012.
Uzupełniająca: Kaszubski R., Romańczuk D., Księga dobrych praktyk zarządzania ciągłością działania, Wydawnictwo Związku Banków Pol-skich, 2012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2025-05-07T16:37:26+02:00</dcterms:created>
  <dcterms:modified xsi:type="dcterms:W3CDTF">2025-05-07T16:37:26+02:00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