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20
czytanie wskazanej literatury: 20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W_KWK01: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W_KWK02: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W_KWK03: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W_KWK04: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U_KWK01: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U_KWK02: </w:t>
      </w:r>
    </w:p>
    <w:p>
      <w:pPr/>
      <w:r>
        <w:rPr/>
        <w:t xml:space="preserve">Potrafi zająć własne stanowisko na temat pozytywnych i 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U_KWK04: </w:t>
      </w:r>
    </w:p>
    <w:p>
      <w:pPr/>
      <w:r>
        <w:rPr/>
        <w:t xml:space="preserve">Prowadzi, we współpracy z innymi, samodzielną pracę badawczą nad zjawiskami wpływu komputeryzacji na życie współczesnego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K_KWK01: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K_KWK02: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K_KWK03: </w:t>
      </w:r>
    </w:p>
    <w:p>
      <w:pPr/>
      <w:r>
        <w:rPr/>
        <w:t xml:space="preserve">Potrafi przygotować w wybranej formie pisemnej (esej, prezentacja multimedialna, referat), i publicznie zaprezentować wyniki swoich refleksji.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2026-09-10T04:40:45+02:00</dcterms:created>
  <dcterms:modified xsi:type="dcterms:W3CDTF">2026-09-10T04:40:45+02:00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