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51, w tym:
a)	wykład – 30 godz.,
b)	ćwiczenia – 15 godz.,
c)	konsultacje – 4 godz.,
d)	egzamin – 2 godz.
2.	Praca własna studenta – 75 godzin, w tym:
a)	 15 godz. – przygotowanie się studenta do kolokwium nr  1,
b)	15 godz. – przygotowanie się studenta do kolokwium nr  2,
c)	20 godz. – przygotowanie się studenta do ćwiczeń,
d)	25 godz - przygotowanie się do egzaminu.
Razem - 126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51, w tym:
a)	wykład – 30 godz.,
b)	ćwiczenia – 15 godz.,
c)	konsultacje – 4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aerodynamiki.
Nauczenie podstawowych technik rozwiązywania prostych problemów inżynierskich z zakresu statyki płynów i przepływów cieczy rzeczywistej.
Przekazanie podstawowej wiedzy z zakresu elementarnej dynamiki gazów i teorii turbulencji.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 Warunkiem zaliczenia kursu jest otrzymanie oceny pozytywnej z obu kolokwiów.
2)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 oraz podręczniki: 
a) Prosnak W.J.: Równania klasycznej mechaniki płynów. PWN, Warszawa, 2006,
b) Gryboś R.: Podstawy mechaniki płynów. PWN, Warszawa, 1998,
c) Tesch K.: Mechanika płynów. Wydawnictwo Politechniki Gdańskiej,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ML.NW122_W1: </w:t>
      </w:r>
    </w:p>
    <w:p>
      <w:pPr/>
      <w:r>
        <w:rPr/>
        <w:t xml:space="preserve">Zna podstawy statyki i kinematyki 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ML.NW122_W2: </w:t>
      </w:r>
    </w:p>
    <w:p>
      <w:pPr/>
      <w:r>
        <w:rPr/>
        <w:t xml:space="preserve">Ma podstawową wiedzę w zakresie formułowania zasad zachowania dla płynu, równań opisujących jego ruch i ich całek pierwszych, a także sposobów określania reakcji aero/hydrodynamicznych.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ML.NW122_W3: </w:t>
      </w:r>
    </w:p>
    <w:p>
      <w:pPr/>
      <w:r>
        <w:rPr/>
        <w:t xml:space="preserve">Ma podstawową wiedzę na temat modelu płynu newtonowskiego oraz inżynierskich metod wyznaczania ruchu laminarnego i turbulentnego cieczy lepkiej w rurociągach, zna pojęcie podobieństwa dynamicznego przepływów i znaczenie fizyczne podstawowych liczb 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ML.NW122_W4: </w:t>
      </w:r>
    </w:p>
    <w:p>
      <w:pPr/>
      <w:r>
        <w:rPr/>
        <w:t xml:space="preserve">Ma elementarną wiedzę w zakresie podstaw dynamiki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ML.NW122_U1: </w:t>
      </w:r>
    </w:p>
    <w:p>
      <w:pPr/>
      <w:r>
        <w:rPr/>
        <w:t xml:space="preserve">Potrafi rozwiązać proste zagadnienia inżynierskie z zakresu statyki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ML.NW122_U2: </w:t>
      </w:r>
    </w:p>
    <w:p>
      <w:pPr/>
      <w:r>
        <w:rPr/>
        <w:t xml:space="preserve">Potrafi posłużyć się aparatem algebry i analizy wektorowej do wyznaczenia charakterystyk ruchu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T1A_U09</w:t>
      </w:r>
    </w:p>
    <w:p>
      <w:pPr>
        <w:keepNext w:val="1"/>
        <w:spacing w:after="10"/>
      </w:pPr>
      <w:r>
        <w:rPr>
          <w:b/>
          <w:bCs/>
        </w:rPr>
        <w:t xml:space="preserve">Efekt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ML.NW122_U6: </w:t>
      </w:r>
    </w:p>
    <w:p>
      <w:pPr/>
      <w:r>
        <w:rPr/>
        <w:t xml:space="preserve">Potrafi wykorzystać równanie energii do wyznaczania parametrów gazodynamicznych, a także umie określić relacje pomiędzy parametrami gazodynamicznymi przed i za prostopadłą falą uderzeniową.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2026-10-21T16:09:04+02:00</dcterms:created>
  <dcterms:modified xsi:type="dcterms:W3CDTF">2026-10-21T16:09:04+02:00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