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Piotr Skawiński,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Systemy Mechatroniczne w Rolnictwie Precyzyjnym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(wykład + projekt) - 32,w tym:
a) wykład + projekt – 30 godz.;
b) konsultacje - 2 godz.; 
2) Praca własna studenta (projekt) - 18 godzin, w tym:
a)	 16 godz. – samodzielna praca w środowisku CAD;
b)	   2 godz. – przygotowywanie się studenta do zaliczenia projketu;
3) RAZEM – 50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punktu ECTS – liczba godzin kontaktowych - 32, w tym:
a)wykład - 15 godz.;
b) projektowanie - 15 godz.;
b) konsultacje - 2 godz.;
c) zaliczenie projektu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– 18 godz. w tym:
a)	16 godz. – samodzielna praca w środowisku CAD;
b)	   2 godz. – przygotowywanie się studenta do zaliczenia projektu;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maszyn, znajomość technologii budowy maszyn, znajomość podstaw modelowania, znajomość środowiska 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poznanie zasad i sposobów modelowania geometrii przestrzennej modeli bryłowych i powierzchniowych w aspekcie możliwych do zastosowania procesów technologicznych i rozwiązań 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metod modelowania bryłowego i powierzchniowego w parametrycznych systemach 3D CAD (SolidWorks). Metody modelowania geometrii przestrzennej; podstawy zapisu geometrycznego krzywych i powierzchni (NURBS, B-Spline, Baziera); Metody łączenia płatów powierzchni: G0-G4; analizy krzywizny powierzchni, analiza gładkości (tzw. zebra). Uwarunkowania konstrukcyjne i technologiczne w procesach modelowania 3D.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Kiciak P.: Podstawy modelowania krzywych i powierzchni, WNT2005; Sińczak J.: Podstawy procesów przeróbki plastycznej, WN Akapit, Kraków 2010; Romanowski W.P.: Tłoczenie na zimno, Poradnik.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wiedza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Posiada wiedzę o modelowaniu elementów bryłowych i powierzchniowych, technologii ich kształtowania oraz uwarunkowań technologiczno-konstrukcyjnych.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5" w:name="_Toc5"/>
      <w:r>
        <w:t>Profil ogólnoakademicki - umiejętności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K_U04,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pStyle w:val="Heading3"/>
      </w:pPr>
      <w:bookmarkStart w:id="6" w:name="_Toc6"/>
      <w:r>
        <w:t>Profil ogólnoakademicki - kompetencje społeczne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2026-09-28T02:52:26+02:00</dcterms:created>
  <dcterms:modified xsi:type="dcterms:W3CDTF">2026-09-28T02:52:26+02:00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