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zapoznanie się ze wskazaną literaturą 24 godz., przygotowanie się do egzaminu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Tr1A_U23, Tr1A_U20, Tr1A_U08, Tr1A_U03</w:t>
      </w:r>
    </w:p>
    <w:p>
      <w:pPr>
        <w:spacing w:before="20" w:after="190"/>
      </w:pPr>
      <w:r>
        <w:rPr>
          <w:b/>
          <w:bCs/>
        </w:rPr>
        <w:t xml:space="preserve">Powiązane efekty obszarowe: </w:t>
      </w:r>
      <w:r>
        <w:rPr/>
        <w:t xml:space="preserve">T1A_U16, InzA_U08, T1A_U14, InzA_U06, T1A_U07, T1A_U02, T1A_U03, T1A_U04</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2026-10-19T09:56:58+02:00</dcterms:created>
  <dcterms:modified xsi:type="dcterms:W3CDTF">2026-10-19T09:56:58+02:00</dcterms:modified>
</cp:coreProperties>
</file>

<file path=docProps/custom.xml><?xml version="1.0" encoding="utf-8"?>
<Properties xmlns="http://schemas.openxmlformats.org/officeDocument/2006/custom-properties" xmlns:vt="http://schemas.openxmlformats.org/officeDocument/2006/docPropsVTypes"/>
</file>