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9
Zapoznanie się ze wskazana literaturą 15
Przygotowanie do ćwiczeń  14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wykładowcą 3
Razem 21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ma podstawową wiedzę w zakresie środków i metod zarządzania i sterowania ruchem drogowym.</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w:t>
      </w:r>
    </w:p>
    <w:p>
      <w:pPr>
        <w:spacing w:before="60"/>
      </w:pPr>
      <w:r>
        <w:rPr/>
        <w:t xml:space="preserve">Weryfikacja: </w:t>
      </w:r>
    </w:p>
    <w:p>
      <w:pPr>
        <w:spacing w:before="20" w:after="190"/>
      </w:pPr>
      <w:r>
        <w:rPr/>
        <w:t xml:space="preserve">ćwiczenia – kolokwia i ocena aktywności</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2026-10-19T10:46:40+02:00</dcterms:created>
  <dcterms:modified xsi:type="dcterms:W3CDTF">2026-10-19T10:46:40+02:00</dcterms:modified>
</cp:coreProperties>
</file>

<file path=docProps/custom.xml><?xml version="1.0" encoding="utf-8"?>
<Properties xmlns="http://schemas.openxmlformats.org/officeDocument/2006/custom-properties" xmlns:vt="http://schemas.openxmlformats.org/officeDocument/2006/docPropsVTypes"/>
</file>