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zw.,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TR.NIK410</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wskazana literaturą	16
Przygotowanie do zaliczenia 		23
Konsultacje 3 godz.
Razem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godz. Udział w egzaminie 2 godz. 
Konsultacje 3 godz. Razem 23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Celem przedmiotu jest zaznajomienie studentów i usystematyzowanie podstawowej wiedzy z zakresu środków transportu. Wykładem objęte są lądowe środki transportu bliskiego i dalekiego oraz środki transportu lotniczego i wodnego.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Transport morski. Budowa kadłubów statków. Operacje ładunkowe.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WKŁ, Warszawa 1992. St. Arczyński Mechanika ruchu samochodu. WNT, Warszawa 1994. 
5. Z. Romaniszyn, T. Wolfram Nowoczesny tabor szynowy. Wyd. Specjalne Instytutu Pojazdów Szynowych, Kraków 1997. 
6. J. Reimpell Podwozia samochodów Podstawy konstrukcji. Wyd. KiŁ, Warszawa 1997.
7.  A. Zieliński Konstrukcja nadwozi samochodów osobowych i pochodnych. Wyd. KiŁ, Warszawa 1998. 8. Pod red. M. Dietricha Podstawy Konstrukcji Maszyn cz. I, II i III. PWN,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W03: </w:t>
      </w:r>
    </w:p>
    <w:p>
      <w:pPr/>
      <w:r>
        <w:rPr/>
        <w:t xml:space="preserve">posiada podstawową wiedzę dotyczącą zasady działania, budowy wybranych podukładów oraz charakterystyk technicznych pojazdów kołowo-drogowych </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W05: </w:t>
      </w:r>
    </w:p>
    <w:p>
      <w:pPr/>
      <w:r>
        <w:rPr/>
        <w:t xml:space="preserve">posiada podstawową wiedzę dotyczącą zasad działania oraz budowy wybranych podukładów latających i pływających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posiada podstawową wiedzę dotyczącą charakterystyk technicznych latających środków transp.</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rozpoznania i scharakteryzowania środka transportu zgodnie z poznana klasyfikacją oraz umie określić jego przeznaczenie transportowe</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efekty kierunkowe: </w:t>
      </w:r>
      <w:r>
        <w:rPr/>
        <w:t xml:space="preserve">Tr1A_U25, Tr1A_U19</w:t>
      </w:r>
    </w:p>
    <w:p>
      <w:pPr>
        <w:spacing w:before="20" w:after="190"/>
      </w:pPr>
      <w:r>
        <w:rPr>
          <w:b/>
          <w:bCs/>
        </w:rPr>
        <w:t xml:space="preserve">Powiązane efekty obszarowe: </w:t>
      </w:r>
      <w:r>
        <w:rPr/>
        <w:t xml:space="preserve">T1A_U01, T1A_U16, InzA_U08, T1A_U14, InzA_U06</w:t>
      </w:r>
    </w:p>
    <w:p>
      <w:pPr>
        <w:keepNext w:val="1"/>
        <w:spacing w:after="10"/>
      </w:pPr>
      <w:r>
        <w:rPr>
          <w:b/>
          <w:bCs/>
        </w:rPr>
        <w:t xml:space="preserve">Efekt U02: </w:t>
      </w:r>
    </w:p>
    <w:p>
      <w:pPr/>
      <w:r>
        <w:rPr/>
        <w:t xml:space="preserve">posiada umiejetność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2026-09-27T13:16:57+02:00</dcterms:created>
  <dcterms:modified xsi:type="dcterms:W3CDTF">2026-09-27T13:16:57+02:00</dcterms:modified>
</cp:coreProperties>
</file>

<file path=docProps/custom.xml><?xml version="1.0" encoding="utf-8"?>
<Properties xmlns="http://schemas.openxmlformats.org/officeDocument/2006/custom-properties" xmlns:vt="http://schemas.openxmlformats.org/officeDocument/2006/docPropsVTypes"/>
</file>