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
Udział w ćwiczeniach	15h
Praca własna:10 h-przegląd literatury, 10 h- przygotowanie do egzaminu
20h- przygotowanie do ćwiczeń, 15h- przygotowanie do kolokwium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Zna  istotę integracji europejskiej, jej przyczyny, formy i globalne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wiedzę  i rozumie istotę Unii Europejskiej, definiuje stadia integracji, wspólny rynek, wspólne polityki, wspólny pieniądz, wspólne instytucje, nadrzędny charakter prawa krajowego w stosunku do prawa ponadnarodowego UE itp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</w:t>
      </w:r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wiedzę pozwalającą wyjaśnić funkcjonowanie gospodarki, zmianę jej struktur i synergiczne efekty będące skutkiem integracji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wykorzystać praktycznie wiedze, płynącą z funkcjonowania wspólnego rynku i realizowania wspólnych polityk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K_U03: </w:t>
      </w:r>
    </w:p>
    <w:p>
      <w:pPr/>
      <w:r>
        <w:rPr/>
        <w:t xml:space="preserve">Potrafi zanalizować zjawiska i procesy ekonomiczne, będące skutkiem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posługiwać się  regułami prawnymi    i normami w celu wyjaśnienia zjawisk i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ciągłego doskonalenia wiedzy i jej uzupełniania w interesie rozwoju zawodowego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Potrafi dyskutować i argumentować na forum grupy jakie są korzyści i koszty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2026-05-08T15:57:56+02:00</dcterms:created>
  <dcterms:modified xsi:type="dcterms:W3CDTF">2026-05-08T15:57:56+02:00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