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Programowanie wizualne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Ireneusz Czmoch, dr hab. inż. Sławomir Czarnecki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do wyboru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KIERWY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Razem 50 godz. = 2 ECTS: ćwiczenia (laboratorium komputerowe) 30 godz., praca własna i studiowanie literatury 20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Razem 30 godz. = 1,5 ECTS: ćwiczenia (laboratorium komputerowe) 30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Razem 20 godz. = 0,5 ECTS: studiowanie literatury i praca własna przed sprawdzianami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podstaw informatyki (w tym podstaw Visual Basic), systemów CAD.
Znajomość programu Autodesk Revit na poziomie podstawowym (zaliczony przedmiot Informatyka II sem. 4)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 grupa 30 osobowa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Graficzny interfejs programowania Dynamo umożliwia użytkownikowi dostosowanie procesu roboczego wprowadzania informacji o budynku.
Dynamo to platforma programowania wizualnego typu Open Source dla projektantów. Jest instalowana jako część programu Revit albo jako samodzielny program.
Dynamo pozwala na tworzenie skryptów wizualnych w przestrzeni obszaru roboczego poprzez łączenie ze sobą węzłów definiując w ten sposób przepływ danych. 
W trakcie zajęć zostaną omówione szczegółowo elementy tworzenie programów w Dynamo oraz dobre praktyki pracy w tym systemie programowania wizualnego.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Główne zagadnienia omawiane i ćwiczone w trakcie zajęć. &lt;br&gt;
1. Wstęp do programowanie wizualnego.&lt;br&gt;
2. Podstawowe polecenia, zasady pracy w systemie Dynamo.&lt;br&gt;
3. Zapis i odczyt danych z Excela.&lt;br&gt;
4. Automatyczne: otworowanie, łączenie geometrii obiektów, opisywanie rysunków.&lt;br&gt;
5. Tworzenie konstrukcji w Revit i przekazanie do programu Robot Structural Analysis.&lt;br&gt;
6. Generacja złożonych modeli 3D konstrukcji (słupy, płyty, belki).&lt;br&gt;
7. Automatyzacja projektowanie w cyklu Revit-Robot.&lt;br&gt;
8. Generowanie zestawień dla modeli BIM 3D+.&lt;br&gt;
9. Integracja różnych narzędzi informatycznych z pomocą procedur Dynamo.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Dwa sprawdziany praktyczne ze znajomości narzędzi i procedur programowania wizualnego.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Podstawowe informacje znajdują się na stronach internetowych: http://dynamobim.org/, http://dynamobim.pl/ oraz na stronach Help Autodesk.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http://bim.il.pw.edu.pl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PSWW1: </w:t>
      </w:r>
    </w:p>
    <w:p>
      <w:pPr/>
      <w:r>
        <w:rPr/>
        <w:t xml:space="preserve">.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K2_W10, K2_W12_KBI, K2_W20_KBI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T2A_W01, T2A_W03, T2A_W05, T2A_W07, T2A_W03, T2A_W05, T2A_W07, T2A_W02, T2A_W05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PSWU1: </w:t>
      </w:r>
    </w:p>
    <w:p>
      <w:pPr/>
      <w:r>
        <w:rPr/>
        <w:t xml:space="preserve">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K2_U08, K2_U11_KBI, K2_U24_KBI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T2A_U05, T2A_U08, T2A_U10, T2A_U02, T2A_U07, T2A_U13, T2A_U19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PSWK1: </w:t>
      </w:r>
    </w:p>
    <w:p>
      <w:pPr/>
      <w:r>
        <w:rPr/>
        <w:t xml:space="preserve">.  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K2_K03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T2A_K05, T2A_K07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2025-05-12T22:32:37+02:00</dcterms:created>
  <dcterms:modified xsi:type="dcterms:W3CDTF">2025-05-12T22:32:37+02:00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