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Przedsiębiorstwo na rynku Unii Europejskiej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Marlena Piekut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 39.2/1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 w tym: 16 h - wykłady, 6 h - konsultacje, 14 h - inne w tym: zaliczenia w dodatkowych terminach, wskazanie na szczegółową literaturę związaną z opracowaniem prezentacji ,sprawdzenie opracowań prezentacji przed ich wygłoszeniem i związane z tym dodatkowe konsultacje, 11 h - przygotowanie do zajęć, 20 h - przygotowanie do zaliczenia, 8 h - przygotowanie pracy.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0,64 ECTS - wykłady,
0,8 ECTS w tym: konsultacje w związku z przygotowaniem do zaliczenia (0,24 ECTS), zaliczenia w dodatkowych terminach (0,16 ECTS), wskazanie na szczegółową literaturę związaną z opracowaniem prezentacji (0,12 ECTS), sprawdzenie opracowań prezentacji przed ich wygłoszeniem i związane z tym dodatkowe konsultacje (0,28 ECTS).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przedsiębiorstwie, Statystyka i badania rynku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problematyką funkcjonowania podmiotów gospodarczych oraz z możliwościami tworzenia i rozwoju przedsiębiorstw na terenie Unii Europejskiej.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W1. Teoria integracji ekonomicznej. Unia gospodarcza i walutowa. Swobody i ograniczenia dla przedsiębiorstw. W2. Przedsiębiorstwo w UE a wspólna polityka handlowa. W3. Przedsiębiorstwo w UE a polityka konkurencji i polityka ochrony konsumenta. W4. Integracja przedsiębiorstw UE. Strategie wejścia przedsiębiorstwa na rynki zagraniczne.  W5. Ogólne warunki zakładania i prowadzenia działalności gospodarczej. Zasady ubiegania się o dotacje unijne na rozwój przedsiebiorstw MŚP. W6. Euromarketing. Koszty społeczne prowadzenia działalności gospodarczej.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Warunkiem zaliczenia przedmiotu jest przygotowanie prezentacji oraz uzyskanie przez studenta pozytywnej oceny z pisemnego kolokwium. Za każde pytanie można zdobyć maksymalnie 1 pkt. Warunkiem zaliczenia jednego kolokwium jest uzyskanie minimum 50% punktów.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Burnat-Mikosz M. 2005: Pomoc Unii Europejskiej dla przedsiębiorców. Wydawnictwo C.H. Beck
2. Cieślak R., Kordasiewicz J. 2005: Dotacje z Unii Europejskiej dla firm. Praktyczny przewodnik. Wydawnictwo Biblioteczka Pracownicza
3. Wach K. 2005: Jak założyć firmę w Unii Europejskiej. Wyd. Oficyna Ekonomiczna 4. Dane ze stron internetowych Komisji Europejskiej Twoja Europa. 5. Publikacje na stronach internetowych Polskiej Agencji Rozwoju Przedsiębiorczości"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prawidłowości i uwarunkowania fukcjonowania przedsiębiorstw w krajach Unii Europejskiej.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zaliczenia opisowe (W1 - 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</w:t>
      </w:r>
    </w:p>
    <w:p>
      <w:pPr>
        <w:keepNext w:val="1"/>
        <w:spacing w:after="10"/>
      </w:pPr>
      <w:r>
        <w:rPr>
          <w:b/>
          <w:bCs/>
        </w:rPr>
        <w:t xml:space="preserve">Efekt W15: </w:t>
      </w:r>
    </w:p>
    <w:p>
      <w:pPr/>
      <w:r>
        <w:rPr/>
        <w:t xml:space="preserve">Zna mechanizmy finansowania różnych sfer działalności podmiotów gospodarczych funkcjonujących na rynku Unii Europejskiej.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opisowe (W1-W6)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U06: </w:t>
      </w:r>
    </w:p>
    <w:p>
      <w:pPr/>
      <w:r>
        <w:rPr/>
        <w:t xml:space="preserve">Potrafi, w przypadku prowadzenia działalności na własny rachunek, skorzystać z pomocy instytucji otoczenia biznesu funkcjonujących w krajach Unii Europejskiej.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opisowe (W2-W3, 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U23: </w:t>
      </w:r>
    </w:p>
    <w:p>
      <w:pPr/>
      <w:r>
        <w:rPr/>
        <w:t xml:space="preserve">Posiadając wiedzę o działalności przedsiebiorstw na rynku UE, przy znajomości instrumentów finansowania publicznego potrafi kształtować relacje z bankiem. Potrafi wykorzystać wiedzę o preferowanym przez banki profilu kredytobiorcy.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opisowe (W2-W5)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K11: </w:t>
      </w:r>
    </w:p>
    <w:p>
      <w:pPr/>
      <w:r>
        <w:rPr/>
        <w:t xml:space="preserve">Potrafi samodzielnie analizować trendy dotyczące działalności przedsiębiorstw w Unii Europejskiej na podstawie statystyk polskich i międzynarodowych. Jest rzetelny w prowadzeniu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 multimedialnej (W2-W6)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2026-07-05T00:27:36+02:00</dcterms:created>
  <dcterms:modified xsi:type="dcterms:W3CDTF">2026-07-05T00:27:36+02:00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