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OWM1_W01: </w:t>
      </w:r>
    </w:p>
    <w:p>
      <w:pPr/>
      <w:r>
        <w:rPr/>
        <w:t xml:space="preserve">Ma wiedzę z zagadnień szczegółowych z zakresu automatyki i robotyki oraz mechatroniki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kolokiwum, ocena z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OWM1_K01: </w:t>
      </w:r>
    </w:p>
    <w:p>
      <w:pPr/>
      <w:r>
        <w:rPr/>
        <w:t xml:space="preserve">Potrafi wykonań projekt z zakresu mechatroniki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K_U12, 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T2A_U11, T2A_U15, T2A_U16, T2A_U18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2025-07-05T06:52:39+02:00</dcterms:created>
  <dcterms:modified xsi:type="dcterms:W3CDTF">2025-07-05T06:52:39+02:00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