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magisterska wykazuje także umiejętności studenta dotyczące korzystania z metod badawczych i analitycznych oraz umiejętność definiowania i rozwiązywania problemów z danej dziedziny.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prac zatwierdzone przez dyrektora instytutu prowadzącego specjalność są podawane do wiadomości studentów poprzez umieszczenie ich na tablicach lub stronach internetowych dyplomującego zakładu.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przez promotora i recenzenta oraz ocena obrony pracy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PDM_W01: </w:t>
      </w:r>
    </w:p>
    <w:p>
      <w:pPr/>
      <w:r>
        <w:rPr/>
        <w:t xml:space="preserve">Ma wiedzę z zagadnień szczegółowych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PDM_W02: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PDM_U01: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PDM_U02: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PDM_U03: </w:t>
      </w:r>
    </w:p>
    <w:p>
      <w:pPr/>
      <w:r>
        <w:rPr/>
        <w:t xml:space="preserve">Potrafi zaproponować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T2A_U08, T2A_U10, T2A_U11,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PDM_U04: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PDM_K02: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2026-10-03T12:33:34+02:00</dcterms:created>
  <dcterms:modified xsi:type="dcterms:W3CDTF">2026-10-03T12:33:34+02:00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