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 godz. , w tym: 
a) konsultacje z opiekunem pracy - 18 godz. 
2) Praca własna studenta, w tym:
a) rozwiązanie podstawionego problemu - 400-500 godz;
b) opis osiągniętych wyników w postaci pracy dyplomowej 82 godz. ;
suma: 500-600 godz (20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 w tym:
a) rozwiązanie podstawionego problemu - 400-500h
b) opis osiągniętych wyników w postaci pracy dyplomowej 82 godz. 
c)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PD_2st_W02: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keepNext w:val="1"/>
        <w:spacing w:after="10"/>
      </w:pPr>
      <w:r>
        <w:rPr>
          <w:b/>
          <w:bCs/>
        </w:rPr>
        <w:t xml:space="preserve">Efekt PD_2st W01: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PD_2st 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PD_2st 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PD_2st 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InzA_U05, InzA_U07, T2A_U10, T2A_U12, InzA_U02, InzA_U05, T2A_U10, InzA_U03,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PD_2st 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PD_2st 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PD_2st 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2026-09-30T18:59:02+02:00</dcterms:created>
  <dcterms:modified xsi:type="dcterms:W3CDTF">2026-09-30T18:59:02+02:00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