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25h, w tym:
konsultacje - 25h
2) Praca własna studenta 120h, w tym:
wykonanie zadań projektowych, inżynierskich lub badawczych: 60-70h
samodzielne studia literatury: 10h
samodzielne wykonanie dokumentacji przeprowadzonych opracowań: 30-40h
Razem:  125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25h, w tym:
konsultacje, wprowadzenia laboratoryjne, bieżąca kontrola postępu wykonania pracy - 25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4,5 pkt. ECTS - liczba godzin praktycznych 115h, w tym:
wykonanie zadań projektowych, inżynierskich lub badawczych: 60-70h;
samodzielne wykonanie dokumentacji przeprowadzonych opracowań: 30-40h
konsultacje 25h,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podstawowej znajomości i umiejętność stosowania matematyki, fizyki, mechaniki, elektroniki, automatyzacji i  robotyzacji procesów, sterowania, programowania oraz form zapisu w projektowaniu w automatyce i robotyce.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automatyki i robotyki.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PP_IIst_W01: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PP_IIst_U01: </w:t>
      </w:r>
    </w:p>
    <w:p>
      <w:pPr/>
      <w:r>
        <w:rPr/>
        <w:t xml:space="preserve">Ma pogłębioną wiedzę dotyczącą zagadnienia szczegółowego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PP_IIst_K01: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PP_IIst_K02: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2026-10-01T17:51:27+02:00</dcterms:created>
  <dcterms:modified xsi:type="dcterms:W3CDTF">2026-10-01T17:51:27+02:00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