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26 godz., w tym:
•	wykład – 15 godz.
•	ćwiczenia laboratoryjne – 4 godz.
•	prezentacja i konsultacja projektu – 7 godz.
2)  Praca własna studenta – 51 godz., w tym:
•	realizacja projektu – 20 godz.
•	przygotowanie do kolokwium – 8 godz.
•	Przygotowanie do ćwiczeń – 3 godz.
•	Studia literaturowe –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 ECTS – 31 godz., w tym:
•	zapoznanie się z narzędziami – 5 godz.
•	bezpośrednia realizacja projektu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
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pozytywnych.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
Thomas Connolly, Carolyn Begg: "Systemy baz danych - Praktyczne metody projektowania, implementacji i zarządzania", tom 1 i 2, Wydawnictwo RM, 2004
Danuta Mendrala, Marcin Szeliga: "SQL - Praktyczny kurs", Wydanie II, Helion,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keepNext w:val="1"/>
        <w:spacing w:after="10"/>
      </w:pPr>
      <w:r>
        <w:rPr>
          <w:b/>
          <w:bCs/>
        </w:rPr>
        <w:t xml:space="preserve">Efekt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PSBD_K01: </w:t>
      </w:r>
    </w:p>
    <w:p>
      <w:pPr/>
      <w:r>
        <w:rPr/>
        <w:t xml:space="preserve">Potrafi pracować w zespole podczas realizacji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2026-05-08T22:41:28+02:00</dcterms:created>
  <dcterms:modified xsi:type="dcterms:W3CDTF">2026-05-08T22:41:28+02:00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