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1150-MT000-000-0536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
a) wykład -15 godz.;
b) ćwiczenia  - 15 godz.;
c) konsultacje - 2 godz.
 2) Praca własna studenta - 25 godzin, w tym:
a)	 10 godz. – bieżące przygotowywanie się studenta do wykładu i ćwiczeń;
b)	 15 godz. – wykonanie prac domowych.
3) RAZEM – 57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
a) wykład -15 godz.;
b) ćwiczenia  - 15 godz.;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podstaw konstrukcji maszyn i mechaniki pojazdów (wysłuchanie wykładów: Mechanika, PKM i Pojazdy).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modelowania zjawisk zachodzących w maszynach roboczych. Wykształcenie umiejętności budowania modeli zachodzących procesów. Wykorzystanie efektów modelowania w projektowaniu 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
1. Budowa i funkcje MR pod kątem sterowania i regulacji. 
2. Cele i zasady modelowania.
3. Zasady opracowania modeli funkcjonalnych, matematycznych i komputerowych.
4. Metodyka analizy budowy  MR.
5. Przykłady budowania modeli funkcjonalnych i matematycznych typowych układów kinematycznych i dynamicznych koparki, ładowarki, spycharki, zgarniarki, suwnicy, dźwigu osobowego, żurawia wieżowego i teleskopowego, wózka widłowego, ciągnika rolniczego i wózka widłowego.
6. Wprowadzenie do modelowania komputerowego - Charakterystyka  metod numerycznych stosowanych w modelowaniu komputerowym.
7. Przykłady modelowania funkcjonalnego, matematycznego i komputerowego elementów i podzespołów MR.
8. Symulacja komputerowa działania elementów - badanie poprawnosci działania.
9. Modelowanie oddziaływania na środowisko pracy MR.
10. Zasady syntezy i integracji modeli komputerowych budowa modelu MR.
11. Budowa modelu MR.
Ćwiczenia:
1. Analiza budowy MR.
2. Opracowania modeli funkcjonalnych, matematycznych typowych układów kinematycznych i dynamicznych koparki, ładowarki, spycharki, zgarniarki, suwnicy, dźwigu osobowego, żurawia wieżowego i teleskopowego, wózka widłowego, ciągnika rolniczego i wózka widłowego.
3. Budowa modeli komputerowych układów MR – Symulacja. komputerowa działania elementów - badanie poprawności działania
4. Modelowanie oddziaływania na środowisko pracy MR.
5. Synteza i integracja modeli komputerowych budowa modelu MR.
6. Budowa i testowanie modelu MR.
7. Symulowanie pracy MR.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 – budowy modelu komputerowego elementu maszyny.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R.H Canon „Dynamika układów fizycznych”.
2.	Anna Czemplik „modele dynamiczne układów fizycznych dla inżynierów”.
3.	B. Mrozek,z. Mrozek : „Matlab – uniwersalne środowisko do obliczeń.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1150-MT000-000-0536_W1: </w:t>
      </w:r>
    </w:p>
    <w:p>
      <w:pPr/>
      <w:r>
        <w:rPr/>
        <w:t xml:space="preserve">Ma wiedzę nt. budowy modelu matematycznego elementów, podsystemów i systemów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1150-MT000-000-0536_W2: </w:t>
      </w:r>
    </w:p>
    <w:p>
      <w:pPr/>
      <w:r>
        <w:rPr/>
        <w:t xml:space="preserve">Ma wiedzę nt. budowy mechatronicznych i elektronicznych układów sterowania i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KMchtr2_W08, KMchtr2_W11, KMchtr2_W12, KMchtr2_W13, KMchtr2_W14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InzA_W02, T2A_W03, T2A_W04, T2A_W07, T2A_W03, T2A_W04, T2A_W07, T2A_W06, T2A_W07, 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1150-MT000-000-0536_U1: </w:t>
      </w:r>
    </w:p>
    <w:p>
      <w:pPr/>
      <w:r>
        <w:rPr/>
        <w:t xml:space="preserve">Potrafi budować i weryfikować modle komputerowe podstawowych członów dynamicznych i typowych elementów MR.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p>
      <w:pPr>
        <w:keepNext w:val="1"/>
        <w:spacing w:after="10"/>
      </w:pPr>
      <w:r>
        <w:rPr>
          <w:b/>
          <w:bCs/>
        </w:rPr>
        <w:t xml:space="preserve">Efekt 1150-MT000-000-0536_U2: </w:t>
      </w:r>
    </w:p>
    <w:p>
      <w:pPr/>
      <w:r>
        <w:rPr/>
        <w:t xml:space="preserve">Zna zasady budowania modeli funkcjonalnych, matematycznych i komputerowych maszyn roboczych. Potrafi wyciągć wnioski z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KMchtr2_U06, KMchtr2_U07, KMchtr2_U09, KMchtr2_U10, KMchtr2_U12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T2A_U10, T2A_U10, T2A_U15, T2A_U16, InzA_U04, InzA_U05, InzA_U06, InzA_U07, InzA_U08, T2A_U08, T2A_U11, T2A_U15, InzA_U01, T2A_U10, InzA_U02, T2A_U18,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2026-10-03T18:01:39+02:00</dcterms:created>
  <dcterms:modified xsi:type="dcterms:W3CDTF">2026-10-03T18:01:39+02:00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