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1150-MTKIN-IZP-0405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 godz. wykładu.
2) Praca własna studenta – 60 godzin, w tym:
a)     30 godz. – studia literaturowe,
b)     30 godz. – przygotowywanie się do kolokwium z wykładów/prezentacji,
3) RAZEM – 80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20 godz. wykładu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godz., w tym:
1) 30 godz. – zapoznanie się z materiałem uzyskanym ze źródeł elektronicznych oraz ze opracowań w formie papierowej;
2) 30 godz. – przygotowanie się do kolokwium/prezentacji.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Konstrukcyjne,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nowoczesnych materiałów o sterowanych właściwościach stosowanych w budowie pojazdów i maszyn roboczych. Podbudowa teoretyczna dotyczącej materiałów posłuży do zrozumienia działania aktywnych i adaptacyjnych urządzeń w pojazdach samochodowych. 
Zdobycie umiejętności pozyskiwania informacji z literatury oraz innych właściwie dobranych źródeł w zakresie przedmiotu. Zdobyte umiejętności pozwolą integrować uzyskane informacje, dokonywać ich interpretacji, a także wyciągać wnioski oraz formułować i uzasadniać opinie w zakresie zastosowania materiałów inteligentnych stosowanych w pojazdach lub maszynach.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wstępne związane z podziałem materiałów inteligentnych.
2. Omówienie cieczy magneto-reologicznych - zjawiska zachodzące w cieczach.
3. Ciecze elektro-reologiczne i ich właściwości.
4. Zastosowanie cieczy inteligentnych do tłumików drgań.
5. Wykorzystanie materiałów piezoelektrycznych w układach diagnostycznych oraz do tłumienia drgań. 
6. Właściwości sterowanych kompozytów elastomerowych oraz ich aplikacje. 
7. Specyfika materiałów z pamięcią kształtu oraz możliwości aplikacji SMA    
8. Przedstawienie materiałów magnetostrykcyjnych – kierunki rozwoju.  
9. Metody badawcze stosowane do materiałów inteligentnych.   
10. Kompozyty magneto- i elektro-reologiczne – właściwości i aplikacje.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I część - 1 kolokwium (sprawdzian pisemny).
Wykład II część - 1 kolokwium (sprawdzian pisemny) lub prezentacja studencka z zakresu tematyki wykładu.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Sapiński B: Magnetorheological dampers in vibration control. Cracow AGH, 2006. 
2. Ławniczak A., Milecki A.: Ciecze elektro- i magnetoreologiczne oraz ich zastosowanie w technice. Wydawnictwo Politechniki Poznańskiej, 1999.
3. Bajkowski J.: Ciecze i tłumiki magnetoreologiczne. Właściwości, budowa, badania, modelowanie i zastosowania, WKŁ, Warszawa, 2014.
4. Goldasz J., Sapiński B.: Insight into Magnetorheological Shock Absorbers, Springer,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1150-MTKIN-IZP-0405_W01: </w:t>
      </w:r>
    </w:p>
    <w:p>
      <w:pPr/>
      <w:r>
        <w:rPr/>
        <w:t xml:space="preserve">Ma wiedzę z zakresu podstawowych podziałów materiałów inteligentnych.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</w:t>
      </w:r>
    </w:p>
    <w:p>
      <w:pPr>
        <w:keepNext w:val="1"/>
        <w:spacing w:after="10"/>
      </w:pPr>
      <w:r>
        <w:rPr>
          <w:b/>
          <w:bCs/>
        </w:rPr>
        <w:t xml:space="preserve">Efekt 1150-MTKIN-IZP-0405_W02: </w:t>
      </w:r>
    </w:p>
    <w:p>
      <w:pPr/>
      <w:r>
        <w:rPr/>
        <w:t xml:space="preserve">Ma wiedzę z zakresu wykorzystania materiałów inteligentnych z uwagi na ich właściwości w wibroizolacji i dynamicznej redukcji drgań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1150-MTKIN-IZP-0405_U01: </w:t>
      </w:r>
    </w:p>
    <w:p>
      <w:pPr/>
      <w:r>
        <w:rPr/>
        <w:t xml:space="preserve">Potrafi określić podstawowe cechy urządzeń wykorzystujących materiały inteligentne.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1150-MTKIN-IZP-0405_U02: </w:t>
      </w:r>
    </w:p>
    <w:p>
      <w:pPr/>
      <w:r>
        <w:rPr/>
        <w:t xml:space="preserve">Zna cechy charakterystyczne materiałów i podstawowe parametry wykorzystywane w aplikacji do urządzeń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KMchtr_U17, KMchtr_U18, KMchtr_U19,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T1A_U08, T1A_U09, T1A_U15, T1A_U16, T1A_U12, T1A_U16, InzA_U04,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1150-MTKIN-IZP-0405_U03: </w:t>
      </w:r>
    </w:p>
    <w:p>
      <w:pPr/>
      <w:r>
        <w:rPr/>
        <w:t xml:space="preserve">Nabył umiejętność samodzielnego pozyskiwania wiedzy w zakresie problemów związanych z zastosowaniem materiałów inteligentnych w technice oraz potrafi wyznaczyć kierunki samodzielnego 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1150-MTKIN-IZP-0405_K01: </w:t>
      </w:r>
    </w:p>
    <w:p>
      <w:pPr/>
      <w:r>
        <w:rPr/>
        <w:t xml:space="preserve">Rozumie jaki wpływ jest stosowania materiałów inteligentnych stosowanych w pojazdach i maszynach roboczych i potrafi tę informację przekazywać społeczeństwu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
Prezentacja, dyskusja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2025-05-09T05:43:05+02:00</dcterms:created>
  <dcterms:modified xsi:type="dcterms:W3CDTF">2025-05-09T05:43:05+02:00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