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 przedmiotu: Prodziekan ds. Nauczania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1150-PE000-ISP-0420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- 150 godz. projektu.
2) Praca własna studenta – 235 godz., w tym:
a) studia literaturowe: 10 godz.;
b) praca nad przygotowaniem pracy dyplomowej: 225 godz.
3) RAZEM – 385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 punktów ECTS – 150 godz. projektu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 - 375 godzin pracy studenta, w tym: 
a) udział w ćwiczeniach projektowych - 150 godzin;
b) praca nad przygotowaniem pracy dyplomowej – 225 godzin.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dyplomowej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dyplomowej określonym w porozumieniu z promotorem pracy. Tematyka pracy dyplomowej powinna być powiązana z realizowanym kierunkiem studiów. Praca dyplomowa inżynierska powinna wykazać posiadanie przez dyplomanta umiejętności rozwiązywania problemów, opartej na znajomości podstaw teoretycznych lub doświadczeniach empirycznych oraz wykorzystywania znanych metod, analiz i/lub komputerowych programów dotyczących rozpatrywanego problemu. Praca dyplomowa powinna stanowić rozwiązanie wskazanego dyplomantowi zadania na podstawie informacji znajdujących się w dostępnym piśmiennictwie. Praca dyplomowa inżynierska powinna dotyczyć procesów i urządzeń technicznych i technologicznych. Przedmiotem pracy dyplomowej inżynierskiej może być w szczególności: rozwiązanie zadania z zakresu projektowania, wytwarzania lub eksploatacji urządzeń technicznych i obiektów, wykonanie badań wraz z analizą uzyskanych wyników, opracowanie programu komputerowego o odpowiednim stopniu trudności.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dyplomowej przez Promotora.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dyplomowej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1150-MT000-ISP-0420_W1: </w:t>
      </w:r>
    </w:p>
    <w:p>
      <w:pPr/>
      <w:r>
        <w:rPr/>
        <w:t xml:space="preserve">Posiada wiedzę jak pozyskiwać dane z literatury i baz danych; potrafi ocenić działanie zasad i praw dotyczących ochrony własności intelektualnej. Ma uporządkowaną wiedzę w zakresie mechatroniki pojazdów oraz orientuje się w jej obecnym stanie oraz najnowszych trendach rozwojowych.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1150-PE000-ISP-0420_U1: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K_U11, K_U14, K_U20, K_U21,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InzA_U04, T1A_U08, T1A_U09, T1A_U14, InzA_U06, T1A_U16, T1A_U07, T1A_U09, T1A_U10, InzA_U03, T1A_U11</w:t>
      </w:r>
    </w:p>
    <w:p>
      <w:pPr>
        <w:keepNext w:val="1"/>
        <w:spacing w:after="10"/>
      </w:pPr>
      <w:r>
        <w:rPr>
          <w:b/>
          <w:bCs/>
        </w:rPr>
        <w:t xml:space="preserve">Efekt 1150-MT000-ISP-0420_U2: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1150-MT000-ISP-0420_U3: </w:t>
      </w:r>
    </w:p>
    <w:p>
      <w:pPr/>
      <w:r>
        <w:rPr/>
        <w:t xml:space="preserve">Potrafi pozyskiwać informacje z literatury, bazy danych oraz innych źródeł w zakresie swojego kierunku studiów; potrafi ocenić działanie zasad i praw dotyczących ochrony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1150-PE000-ISP-0420_K1: </w:t>
      </w:r>
    </w:p>
    <w:p>
      <w:pPr/>
      <w:r>
        <w:rPr/>
        <w:t xml:space="preserve">Ma świadomość roli absolwenta uczelni technicznej w przekazywaniu szerszemu gremium osiągnięć mechatroniki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2026-07-29T22:30:21+02:00</dcterms:created>
  <dcterms:modified xsi:type="dcterms:W3CDTF">2026-07-29T22:30:21+02:00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