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Prodziekan ds. Nauczania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75 godz. projekt.
2) Praca własna studenta – 35 godz., w tym: 
a) studia literaturowe: 10 godz.;
b) praca nad przygotowaniem projektu: 25 godz.
3) RAZEM – 110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– 75 godz. projekt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- 100 godzin pracy studenta, w tym: 
a) udział w ćwiczeniach projektowych - 75 godz.;
b) praca nad przygotowaniem projektu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zrealizowanej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1150-PE000-ISP-0328_W1: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1150-PE000-ISP-0328_U1: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K_U11, K_U14, K_U19, K_U20, K_U21,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T1A_U08, T1A_U09, T1A_U14, InzA_U06, T1A_U12, T1A_U16, T1A_U16, T1A_U07, T1A_U09, T1A_U10, InzA_U03, T1A_U11</w:t>
      </w:r>
    </w:p>
    <w:p>
      <w:pPr>
        <w:keepNext w:val="1"/>
        <w:spacing w:after="10"/>
      </w:pPr>
      <w:r>
        <w:rPr>
          <w:b/>
          <w:bCs/>
        </w:rPr>
        <w:t xml:space="preserve">Efekt 1150-PE000-ISP-0328_U2: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1150-PE000-ISP-0328_U3: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1150-PE000-ISP-0328_K1: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2025-05-05T07:09:51+02:00</dcterms:created>
  <dcterms:modified xsi:type="dcterms:W3CDTF">2025-05-05T07:09:51+02:00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