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ds.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75 godz. projekt.
2) Praca własna studenta – 35 godz., w tym: 
a) studia literaturowe: 10 godz.;
b) praca nad przygotowaniem projektu: 25 godz.
3) RAZEM –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3 punkty ECTS – 75 godz. projekt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- 100 godzin pracy studenta, w tym: 
a) udział w ćwiczeniach projektowych - 75 godz.;
b) praca nad przygotowaniem projektu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przejściowej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przejściowej określonym w porozumieniu z promotorem pracy. Tematyka pracy przejściowej powinna być powiązana z realizowanym kierunkiem studiów. Powinna ona dotyczyć zagadnień ogólno-inżynierskich i stwarzać możliwości wykorzystania dotychczas zdobytej wiedzy technicznej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przejściowej.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przejściowej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1150-PE000-ISP-0328_W1: </w:t>
      </w:r>
    </w:p>
    <w:p>
      <w:pPr/>
      <w:r>
        <w:rPr/>
        <w:t xml:space="preserve">Posiada wiedzę jak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1150-PE000-ISP-0328_U1: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K_U11, K_U14, K_U19, K_U20, K_U21,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T1A_U08, T1A_U09, T1A_U14, InzA_U06, T1A_U12, T1A_U16, T1A_U16, T1A_U07, T1A_U09, T1A_U10, InzA_U03, T1A_U11</w:t>
      </w:r>
    </w:p>
    <w:p>
      <w:pPr>
        <w:keepNext w:val="1"/>
        <w:spacing w:after="10"/>
      </w:pPr>
      <w:r>
        <w:rPr>
          <w:b/>
          <w:bCs/>
        </w:rPr>
        <w:t xml:space="preserve">Efekt 1150-PE000-ISP-0328_U2: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1150-PE000-ISP-0328_U3: </w:t>
      </w:r>
    </w:p>
    <w:p>
      <w:pPr/>
      <w:r>
        <w:rPr/>
        <w:t xml:space="preserve">Potrafi pozyskiwać dane z literatury i baz danych; potrafi ocenić działanie zasad i praw dotyczących ochrony własności intelektualnej oraz 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1150-PE000-ISP-0328_K1: </w:t>
      </w:r>
    </w:p>
    <w:p>
      <w:pPr/>
      <w:r>
        <w:rPr/>
        <w:t xml:space="preserve">Ma świadomość roli absolwenta uczelni technicznej w przekazywaniu szerszemu gremium osiągnięć mechatroniki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przejściowa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2026-10-01T21:52:02+02:00</dcterms:created>
  <dcterms:modified xsi:type="dcterms:W3CDTF">2026-10-01T21:52:02+02:00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