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Inteligentne systemy elektroenergetyczne (Smart Grid)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Gałecki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- 15
a) wykład - 15godz.
2) Praca własna studenta
15 godz.
3) RAZEM – suma godzin pracy własnej i godzin kontaktowych.  
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punktów ECTS – liczba godzin kontaktowych - 15, w tym:
a) wykład –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energoelektroniki i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nt.: rodzajów i właściwości odnawialnych źródeł energii (OZE); właściwości magazynów energii (ME); sposobu sterowania rozpływem mocy w energetyce rozproszonej; infrastruktury ładowania baterii pojazdów elektrycznych i hybrydowych; słownictwa z zakresu energetyki rozproszonej i teorii sterowania; oceny przydatności OZE oraz ME w rozproszonych systemach energetycznych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Wymagania energetyczne w budowie infrastruktury - ładowanie akumulatorów w pojazdach elektrycznych i hybrydowych; Udział alternatywnej energetyki w infrastrukturze pojazdów elektrycznych i hybrydowych; Fotowoltaiczne systemy energetyczne; Systemy energetyki wiatrowej; Akumulacje energii w sieci energetycznej; Stabilizacja mocy oraz częstotliwości w układach z akumulacją energii; Sterowanie rozpływem mocy w energetyce rozproszonej; Sterowanie częstotliwością w energetyce rozproszonej; Energetyka rozproszona w małej skali; Budowa infrastruktury pojazdów elektrycznych i hybrydowych w systemie energetyki rozproszonej;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sprawdzające. Ocena odpowiedzi na cztery pytania otwarte dotyczące zagadnień poruszanych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Srzelecki, G. Benysek: Power Electronics in Smart Electrical Energy Networks, Springer London, 2008.
2. Zbiór wybranych publikacji konferencyjnych i artykułów z czasopism technicznych związanych z tematem przedmiotu przygotowany i udostępniony studentom.
3. Materiały z Wykładu w formie prezentacji multimedialnych oraz plików pdf.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1150-PE000-ISP-305_W1: </w:t>
      </w:r>
    </w:p>
    <w:p>
      <w:pPr/>
      <w:r>
        <w:rPr/>
        <w:t xml:space="preserve">Posiada wiedze o rodzajach i właściwościach odnawialnych źródeł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1150-PE000-ISP-0315_W2: </w:t>
      </w:r>
    </w:p>
    <w:p>
      <w:pPr/>
      <w:r>
        <w:rPr/>
        <w:t xml:space="preserve">Posiada wiedzę o rodzajach i właściwościach magazynów energii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Dysponuje wiedzą na temat sterowania rozpływem mocy w energetyce rozproszonej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1150-PE000-ISP-0315_W4: </w:t>
      </w:r>
    </w:p>
    <w:p>
      <w:pPr/>
      <w:r>
        <w:rPr/>
        <w:t xml:space="preserve">Posiada wiedzę na temat wymaganej infrastruktury dla pojazdów elektrycznych i hybrydowych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1150-PE000-ISP-305_U1: </w:t>
      </w:r>
    </w:p>
    <w:p>
      <w:pPr/>
      <w:r>
        <w:rPr/>
        <w:t xml:space="preserve">Ma świadomość roli odnawialnych źródeł energii w nowoczesnych systemach elektroenergetycznych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2026-10-01T07:50:56+02:00</dcterms:created>
  <dcterms:modified xsi:type="dcterms:W3CDTF">2026-10-01T07:50:56+02:00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