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magnetyczne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- 15 godz.:
a) wykład -15 godz.
2) Praca własna studenta  10 godz.
3) RAZEM – 25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 punktów ECTS – liczba godzin kontaktowych - 15 w tym:
a) wykład - 15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kurs inżynierii materiałowej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wykładów jest zapoznanie studentów z podstawami magnetyzmu oraz materiałami magnetycznie miękkimi i twardymi, stosowanymi w konstrukcjach inżynierskich.
Po zakończeniu kursu student potrafi dobrać materiały magnetyczne do określonych konstrukcji oraz wykorzystać metody analityczne do formułowania i rozwiązywania zadań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jednostki – elektryczność i magnetyzm, pole magnetyczne, przenikalność magnetyczna, podział materiałów magnetycznych, histereza magnetyczna. Ferromagnetyzm – moment magnetyczny atomu, siły wymiany, temperaturowa zależność namagnesowania, anizotropia magnetyczna, pole odmagnesowujące, energia magnetostatyczna. Struktura domenowa – grubość ściany domenowej, oddziaływanie ścian domenowych z wtrąceniami. Oddziaływanie pola magnetycznego na domeny. Cząstki jednodomenowe. Namagnesowanie, koercja. Materiały magnetycznie miękkie – straty na histerezę i prądy wirowe, rodzaje materiałów i ich zastosowania. Materiały Magnetycznie twarde – rodzaje materiałów i metody ich otrzymywania. Materiały nanokrystaliczne i nanokompozytowe - wpływ nanostruktury na właściwości magnetyczne, zjawisko podwyższonych oddziaływań wymiennych. Materiały do zapisu i gromadzenia danych – taśmy magnetyczne, dyski magnetyczne, cienkie warstwy magnetyczne.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na koniec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Leonowicz, J. Wysłocki , Nowoczesne magnesy, WNT 2005.
Inne książki i publikacje z zakresu tematyki przedmiotu.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1150-PE000-ISP-0212_W1: </w:t>
      </w:r>
    </w:p>
    <w:p>
      <w:pPr/>
      <w:r>
        <w:rPr/>
        <w:t xml:space="preserve">Ma uporządkowaną wiedzę w zakresie materiałów stosowanych w budowie pojazdów hybrydowych, ich komponentów i w systemach generowania, przekształcania i akumulacji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1150-PE000-ISP-0212_U1: </w:t>
      </w:r>
    </w:p>
    <w:p>
      <w:pPr/>
      <w:r>
        <w:rPr/>
        <w:t xml:space="preserve">potrafi planować i przeprowadzić symulację oraz pomiary charakterystyk elektrycznych, mechanicznych i magnetycznych, a także ekstrakcję podstawowych parametrów charakteryzujących materiały, elementy napędów hybrydowych i elektrycznych; potrafi przedstawić otrzymane wyniki w formie liczbowej i graficznej, dokonać ich interpretacji i wyciągnąć właściwe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2026-06-17T22:52:25+02:00</dcterms:created>
  <dcterms:modified xsi:type="dcterms:W3CDTF">2026-06-17T22:52:25+02:00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