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1150-MBHNY-IZP-0404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-20 godz.;
b)	konsultacje wykładu -1 godz.;
2)  Praca własna studenta - 54 godzin, w tym:
a)	 17 godz. – bieżące przygotowywanie się studenta do wykładu;
b)	 17 godz. – studia literaturowe;
c)	 20 godz. – przygotowywanie się studenta do kolokwiów;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-30 godz.;
b)	konsultacje wykładu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maszyn elektrycznych i napędów elektrycznych (wysłuchanie wykładów: Elektrotechnika i elektronika I i II, Napędy Elektryczne).</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zasad projektowania  elektromechanicznych napędów hybrydowych pojazdów i maszyn roboczych. Nabycie przez studentów umiejętności formułowania wymagań projektowych dla elektromechanicznych napędów hybrydowych pojazdów i maszyn roboczych.
</w:t>
      </w:r>
    </w:p>
    <w:p>
      <w:pPr>
        <w:keepNext w:val="1"/>
        <w:spacing w:after="10"/>
      </w:pPr>
      <w:r>
        <w:rPr>
          <w:b/>
          <w:bCs/>
        </w:rPr>
        <w:t xml:space="preserve">Treści kształcenia: </w:t>
      </w:r>
    </w:p>
    <w:p>
      <w:pPr>
        <w:spacing w:before="20" w:after="190"/>
      </w:pPr>
      <w:r>
        <w:rPr/>
        <w:t xml:space="preserve">Warunki magazynowania energii w pojazdach - cykl jazdy.
Rekuperacja i akumulacja energii w zależności od struktury napędu. 
Wtórne źródła energii -Właściwości energetyczne akumulatorów elektrochemicznego i inercyjnego.
Wyznaczanie parametrów energetycznych hybrydowego układu napędowego- budowa modelu układu.
Równanie bilansu energetycznego układu napędowego dla mocy minimalnej. Postać przybliżona.
Wyznaczanie minimalnej pojemności energetycznej] akumulatora.
Elektrochemiczny akumulator energii. Właściwości akumulatora ołowiowego 
Wyznaczanie charakterystyk elektroenergetycznych trakcyjnego akumulatora elektrochemicznego.
Siła elektromotoryczna, rezystancja wewnętrzna, stopień naładowania akumulatora oraz napięcie na zaciskach ogniwa.
Efektywność energetyczna akumulatora elektrochemicznego. 
Energetyczny model matematyczny akumulatora elektrochemicznego.
Inercyjny akumulator energii. Wybrane zagadnienia wytrzymałości bezwładników. 
Bezwładnik konwencjonalny w kształcie krążka i bezwładniki niekonwencjonalne. 
Akumulacja energii w ruchu obrotowym bezwładników. 
Metoda wskaźnika efektywności formy. 
Porównanie różnych form bezwładników. 
Straty energii w ruchu obrotowym bezwładnika. 
Energetyczny model bezwładnika.
Maszyna elektryczna jako elektromechaniczny przetwornik energii w napędach hybrydowych pojazdów.
Maszyna elektryczna prądu stałego .Konstrukcje silników prądu stałego. 
Współpraca akumulatora elektrochemicznego oraz bezwładnika z maszynami prądu stałego.
Sprawność i przeciążalność silnika elektrycznego. 
Impulsowa regulacja prędkości kątowej elektrycznego silnika trakcyjnego zasilanego z elektrycznego źródła energii akumulator-generator prądu. 
Przekładnia mechaniczna w elektromechanicznym układzie napędowym.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Ocena z wykładu jest średnią ocen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Szumanowski A.: „Hybrid Electric Vehicle Drives Design” ITEE 2006.
Szumanowski A.: Akumulacja Energii w pojazdach, WKiŁ 1984. 
Koczara W.: Wprowadzenie do napędu elektrycznego,  OWPW 2012.
Sieklucki G.: Modele i zasady sterowania napędami elektrycznymi, AGH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1150-MBHNY-IZP-0404_W1: </w:t>
      </w:r>
    </w:p>
    <w:p>
      <w:pPr/>
      <w:r>
        <w:rPr/>
        <w:t xml:space="preserve">Posiada wiedzę o rodzajach możliwych do zastosowania akumulatorów energii w napędzie wieloźródłowym i wynikających z tego faktu ograniczeniach.</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1150-MBHNY-IZP-0404_W2: </w:t>
      </w:r>
    </w:p>
    <w:p>
      <w:pPr/>
      <w:r>
        <w:rPr/>
        <w:t xml:space="preserve">Posiada wiedzę o metodach i kryteriach stanowiących o doborze rodzaju akumulatora i jego parametrach.	</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KMiBM_W15, KMiBM_W16, KMiBM_W17, KMiBM_W18</w:t>
      </w:r>
    </w:p>
    <w:p>
      <w:pPr>
        <w:spacing w:before="20" w:after="190"/>
      </w:pPr>
      <w:r>
        <w:rPr>
          <w:b/>
          <w:bCs/>
        </w:rPr>
        <w:t xml:space="preserve">Powiązane efekty obszarowe: </w:t>
      </w:r>
      <w:r>
        <w:rPr/>
        <w:t xml:space="preserve">T1A_W06, T1A_W08, InzA_W02, T1A_W03, T1A_W04, T1A_W02, T1A_W03, T1A_W06, InzA_W02, InzA_W05, T1A_W02, T1A_W03, T1A_W07</w:t>
      </w:r>
    </w:p>
    <w:p>
      <w:pPr>
        <w:pStyle w:val="Heading3"/>
      </w:pPr>
      <w:bookmarkStart w:id="3" w:name="_Toc3"/>
      <w:r>
        <w:t>Profil ogólnoakademicki - umiejętności</w:t>
      </w:r>
      <w:bookmarkEnd w:id="3"/>
    </w:p>
    <w:p>
      <w:pPr>
        <w:keepNext w:val="1"/>
        <w:spacing w:after="10"/>
      </w:pPr>
      <w:r>
        <w:rPr>
          <w:b/>
          <w:bCs/>
        </w:rPr>
        <w:t xml:space="preserve">Efekt 1150-MBHNY-IZP-0404_U1: </w:t>
      </w:r>
    </w:p>
    <w:p>
      <w:pPr/>
      <w:r>
        <w:rPr/>
        <w:t xml:space="preserve">Potrafi dobrać i uzasadnić wybór akumulatora w zależności od struktury napędu; Potrafi wyznaczyć parametry akumulatora inercyjnego i elektrochemicznego.</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1150-MBHNY-IZP-0404_U2: </w:t>
      </w:r>
    </w:p>
    <w:p>
      <w:pPr/>
      <w:r>
        <w:rPr/>
        <w:t xml:space="preserve">Potrafi przeprowadzić analizy pozwalające na określenie warunków pracy akumulatora energii</w:t>
      </w:r>
    </w:p>
    <w:p>
      <w:pPr>
        <w:spacing w:before="60"/>
      </w:pPr>
      <w:r>
        <w:rPr/>
        <w:t xml:space="preserve">Weryfikacja: </w:t>
      </w:r>
    </w:p>
    <w:p>
      <w:pPr>
        <w:spacing w:before="20" w:after="190"/>
      </w:pPr>
      <w:r>
        <w:rPr/>
        <w:t xml:space="preserve">Kolokwia, rozmowa, dyskusja podczas wykładu.</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2026-06-17T08:19:40+02:00</dcterms:created>
  <dcterms:modified xsi:type="dcterms:W3CDTF">2026-06-17T08:19:40+02:00</dcterms:modified>
</cp:coreProperties>
</file>

<file path=docProps/custom.xml><?xml version="1.0" encoding="utf-8"?>
<Properties xmlns="http://schemas.openxmlformats.org/officeDocument/2006/custom-properties" xmlns:vt="http://schemas.openxmlformats.org/officeDocument/2006/docPropsVTypes"/>
</file>