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1150-MBAMR-IZP-0406</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- 20 godz.;
b) konsultacje - 2 godz.
2) Praca własna studenta - 54 godzin, w tym:
a)	 20 godz. – bieżące przygotowywanie się studenta do wykładu;
b)	 20 godz. – studia literaturowe;
c)	 14 godz. – przygotowywanie się studenta do kolokwiów;
3) RAZEM –  76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-liczba godzin kontaktowych - 22., w tym:
a) wykład - 20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1150-MBAMR-IZP-0406_W1: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1150-MBAMR-IZP-0406_W2: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1150-MBAMR-IZP-0406_U1: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1150-MBAMR-IZP-0406_U2: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1150-MBAMR-IZP-0406_K1: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efekty kierunkowe: </w:t>
      </w:r>
      <w:r>
        <w:rPr/>
        <w:t xml:space="preserve">KMiBM_K02, KMiBM_K03, KMiBM_K05</w:t>
      </w:r>
    </w:p>
    <w:p>
      <w:pPr>
        <w:spacing w:before="20" w:after="190"/>
      </w:pPr>
      <w:r>
        <w:rPr>
          <w:b/>
          <w:bCs/>
        </w:rPr>
        <w:t xml:space="preserve">Powiązane efekty obszarowe: </w:t>
      </w:r>
      <w:r>
        <w:rPr/>
        <w:t xml:space="preserve">T1A_K02, InzA_K01,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2026-10-01T16:57:39+02:00</dcterms:created>
  <dcterms:modified xsi:type="dcterms:W3CDTF">2026-10-01T16:57:39+02:00</dcterms:modified>
</cp:coreProperties>
</file>

<file path=docProps/custom.xml><?xml version="1.0" encoding="utf-8"?>
<Properties xmlns="http://schemas.openxmlformats.org/officeDocument/2006/custom-properties" xmlns:vt="http://schemas.openxmlformats.org/officeDocument/2006/docPropsVTypes"/>
</file>