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1150-MBMRC-IZP-0322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wykład - 20 godz.;
b)	laboratorium- 10 godz.;
2) Praca własna studenta- 70 godz, w tym: 
a)	20 godz. – bieżące przygotowywanie się do laboratoriów i wykładów,
b)	25 godz. – studia literaturowe,
c)	15 godz. –  opracowanie wyników, przygotowanie sprawozdań,
d)	10 godz. - przygotowywanie się do sprawdzianów ,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-20 godz.;
b)	laboratorium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1)	10 godz. - ćwiczenia laboratoryjne,
2)	15 godz. – przygotowywanie się do ćwiczeń laboratoryjnych,
3)	15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Model dynamiczny żurawia naściennego.
Obciążenia dźwignic. Siły dynamiczne podnoszenia.
Badania stateczności dźwignic. Stateczność dynamiczna żurawi wieżowych.
Obciążenia dźwignic. Siły dynamiczne ruchów torowych suwnicy.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w:t>
      </w:r>
    </w:p>
    <w:p>
      <w:pPr>
        <w:keepNext w:val="1"/>
        <w:spacing w:after="10"/>
      </w:pPr>
      <w:r>
        <w:rPr>
          <w:b/>
          <w:bCs/>
        </w:rPr>
        <w:t xml:space="preserve">Witryna www przedmiotu: </w:t>
      </w:r>
    </w:p>
    <w:p>
      <w:pPr>
        <w:spacing w:before="20" w:after="190"/>
      </w:pPr>
      <w:r>
        <w:rPr/>
        <w:t xml:space="preserve">www.wsimr.pw.edu.pl/Strona-glowna-wydzialu-Wydział Samochodów i Maszyn Roboczych/Studia/Kierunki-studiow-i-specjalnosci/Mechanika-i-Budowa-Maszyn-I-stopien-stacjonarne/Dzwignice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1150-MBMRC-IZP-0322_W1: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1150-MBMRC-IZP-0322_W2: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1150-MBMRC-IZP-0322_U1: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1150-MBMRC-IZP-0322_U2: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1150-MBMRC-IZP-0322_K1: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1150-MBMRC-IZP-0322_K2: </w:t>
      </w:r>
    </w:p>
    <w:p>
      <w:pPr/>
      <w:r>
        <w:rPr/>
        <w:t xml:space="preserve">Umie pracować indywidualnie i w zespole.</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2026-08-18T20:02:49+02:00</dcterms:created>
  <dcterms:modified xsi:type="dcterms:W3CDTF">2026-08-18T20:02:49+02:00</dcterms:modified>
</cp:coreProperties>
</file>

<file path=docProps/custom.xml><?xml version="1.0" encoding="utf-8"?>
<Properties xmlns="http://schemas.openxmlformats.org/officeDocument/2006/custom-properties" xmlns:vt="http://schemas.openxmlformats.org/officeDocument/2006/docPropsVTypes"/>
</file>