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przedyplomowe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25h, w tym:
a)	konsultacje z kierującym pracą / opiekunem naukowym – 25h
2.	opracowanie, interpretacja wyników, redakcja tekstu praca dyplomowej – 175h
Razem nakład pracy studenta: 25h + 175h = 200h, co odpowiada 8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konsultacje z kierującym pracą / opiekunem naukowym – 25h
Razem: 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opracowanie, interpretacja wyników, redakcja tekstu praca dyplomowej – 175h
Razem: 175h, co odpowiada 7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przedstawić egzemplarz magisterskiej pracy dyplomowej, do napisania której wykorzystuje: zebraną literaturę, opracowane wyniki pracy laboratoryjnej, konsultacje z kierującym pracą dyplomową.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teoretyczną konieczną do napisania pracy dyplomowej, tj. opisu syntezy / analizy związku chemicznego (grupy związków) lub badania wybranego procesu fizykochemicznego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magisterski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 literatury, baz danych i innych źródeł pozyskiwać (a także interpretować i oceniać wartość) informacje potrzebne do realizacji tematu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magisterski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przeanalizować i opracować uzyskane rezultaty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magisterski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zarówno przy redakcji tekstu, jak i przy opracowaniu wyników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magisterski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wykazuje inicjatywę w kierunku poszerzania swojej wiedzy oraz planowaniu przyszłych badań związanych z tematyką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magisterski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2025-07-08T19:55:27+02:00</dcterms:created>
  <dcterms:modified xsi:type="dcterms:W3CDTF">2025-07-08T19:55:27+02:00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