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1150-MTMR-ISP-0323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
a) wykład – 15 godz.;
b) laboratorium – 15 godz.;
c) konsultacje – 1 godz.;
2) Praca własna studenta -  40 godzin, w tym:
a)	 10 godz. – bieżące przygotowywanie się studenta do wykładu;
b)	 10 godz. – przygotowywanie się studenta do sprawdzianu;
d)	 10 godz. – przygotowywanie się studenta do ćwiczeń laboratoryjnych;
e)	 10 godz. – wykonanie sprawozdań.
3) RAZEM – 71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- 31, w tym:
a) wykład – 15 godz.;
b) laboratorium – 15 godz.;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45 godz., w tym:
1) ćwiczenia laboratoryjne – 15 godz.;
2) 10 godz. – przygotowywanie się do ćwiczeń laboratoryjnych;
3) 10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Laboratorium. Układy regulacji ‐ dobór parametrów regulatora i charakterystyki częstotliwościowe układów dynamicznych. Dydaktyczny model manipulatora trajektoria, regulatory, nastawy regulatorów. Programowanie PLC. Interfejs operatora maszyny roboczej. Automatyczne sterowanie osprzętem koparki podsiębiernej.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 
2.	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1150-MTMR-ISP-0323_W1: </w:t>
      </w:r>
    </w:p>
    <w:p>
      <w:pPr/>
      <w:r>
        <w:rPr/>
        <w:t xml:space="preserve">Ma wiedzę o budowie maszyn roboczych i ich cyklach roboczych;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1150-MTMR-ISP-0323_W2: </w:t>
      </w:r>
    </w:p>
    <w:p>
      <w:pPr/>
      <w:r>
        <w:rPr/>
        <w:t xml:space="preserve">Zna zasady budowania modeli fukcjonalnych maszyn roboczych i systemów interfejsu operator- maszyna robocza.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1150-MTMR-ISP-0323_W3: </w:t>
      </w:r>
    </w:p>
    <w:p>
      <w:pPr/>
      <w:r>
        <w:rPr/>
        <w:t xml:space="preserve">Potrafi przygotować zbiór parametrów do automatyzacji pracy
maszyny roboczej i dobrać systemy mechatroniczne dla takich maszyn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1150-MTMR-ISP-0323_W4: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1150-MTMR-ISP-0323_U1: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1150-MTMR-ISP-0323_U2: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1150-MTMR-ISP-0323_U3: </w:t>
      </w:r>
    </w:p>
    <w:p>
      <w:pPr/>
      <w:r>
        <w:rPr/>
        <w:t xml:space="preserve">Potrafi dobrać parametry torów pomiarowych systemów  mechatronicznych wybranych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1150-MTMR-ISP-0323_K1: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2026-10-01T12:44:49+02:00</dcterms:created>
  <dcterms:modified xsi:type="dcterms:W3CDTF">2026-10-01T12:44:49+02:00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