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45 godz, w tym 
a)	15 godz. – bieżące przygotowywanie się do zajęć,
b)	15 godz. – studia literaturowe,
c)	15 godz. - przygotowywanie się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przez studentów umiejętności rozpoznawania podstawowych zadań inżynierskich w dziedzinie budowy i sterowania dźwigów.</w:t>
      </w:r>
    </w:p>
    <w:p>
      <w:pPr>
        <w:keepNext w:val="1"/>
        <w:spacing w:after="10"/>
      </w:pPr>
      <w:r>
        <w:rPr>
          <w:b/>
          <w:bCs/>
        </w:rPr>
        <w:t xml:space="preserve">Treści kształcenia: </w:t>
      </w:r>
    </w:p>
    <w:p>
      <w:pPr>
        <w:spacing w:before="20" w:after="190"/>
      </w:pPr>
      <w:r>
        <w:rPr/>
        <w:t xml:space="preserve">Wstęp. Definicja dźwigu. Podział dźwigów. 
Usytuowanie dźwigu w budynku. Szyby - podszybie, nadszybie, część robocza. Cykl pracy dźwigu. Przebieg prędkości jazdy od startu do zatrzymania.
Analiza ruchu pasażerskiego dźwigu. Grupy dźwigów.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Dokumentacja techniczna dźwigów. Przykłady projektów montażowych.
Nadzór nad bezpieczną eksploatacją dźwigów – UDT, TDT, WDT.
</w:t>
      </w:r>
    </w:p>
    <w:p>
      <w:pPr>
        <w:keepNext w:val="1"/>
        <w:spacing w:after="10"/>
      </w:pPr>
      <w:r>
        <w:rPr>
          <w:b/>
          <w:bCs/>
        </w:rPr>
        <w:t xml:space="preserve">Metody oceny: </w:t>
      </w:r>
    </w:p>
    <w:p>
      <w:pPr>
        <w:spacing w:before="20" w:after="190"/>
      </w:pPr>
      <w:r>
        <w:rPr/>
        <w:t xml:space="preserve">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ELECTRIC LIFTS, Philips, R.S., Sir Isaac Pitman &amp; Sons Ltd, London, 1966.
4.	KONSERWACJA DŹWIGÓW ELEKTRYCZNYCH, Chimiak, M., Wydawnictwo KaBe, Krosno, 2008.
5.	BUDOWA I KONSERWACJA URZĄDZEŃ DO PRZEMIESZCZANIA OSÓB NIEPEŁNOSPRAWNYCH, Chimiak M., Wydawnictwo KaBe, Krosno, 2013.
6.	OBSŁUGA DŹWIGÓW, Buczek K., , Wydawnictwo KaBe, Krosno, 2007.
7.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1150-MTPMR-ISP-0405_W1: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KMchtr_W06, KMchtr_W07, KMChtr_W08, KMchtr_W11, KMchtr_W12, KMchtr_W15, KMchtr_W16, KMChtr_W17, KMchtr_W18</w:t>
      </w:r>
    </w:p>
    <w:p>
      <w:pPr>
        <w:spacing w:before="20" w:after="190"/>
      </w:pPr>
      <w:r>
        <w:rPr>
          <w:b/>
          <w:bCs/>
        </w:rPr>
        <w:t xml:space="preserve">Powiązane efekty obszarowe: </w:t>
      </w:r>
      <w:r>
        <w:rPr/>
        <w:t xml:space="preserve">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1150-MTPMR-ISP-0405_U1: </w:t>
      </w:r>
    </w:p>
    <w:p>
      <w:pPr/>
      <w:r>
        <w:rPr/>
        <w:t xml:space="preserve">Potrafi przeprowadzić analizę pracy danego podzespołu w ramach całej struktury dźwigu oraz w kontekście uwarunkowań zewnętrznych (technicznych -pozamechanicznych oraz formalnych).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KMchtr_U03</w:t>
      </w:r>
    </w:p>
    <w:p>
      <w:pPr>
        <w:spacing w:before="20" w:after="190"/>
      </w:pPr>
      <w:r>
        <w:rPr>
          <w:b/>
          <w:bCs/>
        </w:rPr>
        <w:t xml:space="preserve">Powiązane efekty obszarowe: </w:t>
      </w:r>
      <w:r>
        <w:rPr/>
        <w:t xml:space="preserve">T1A_U03, InzA_U02</w:t>
      </w:r>
    </w:p>
    <w:p>
      <w:pPr>
        <w:keepNext w:val="1"/>
        <w:spacing w:after="10"/>
      </w:pPr>
      <w:r>
        <w:rPr>
          <w:b/>
          <w:bCs/>
        </w:rPr>
        <w:t xml:space="preserve">Efekt 1150-MTPMR-ISP-0405-U2: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1150-MTPMR-ISP-0405-U3: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1150-MTPMR-ISP-0405-U4: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1150-MTPMR-ISP-0405-K1: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2026-10-01T13:18:26+02:00</dcterms:created>
  <dcterms:modified xsi:type="dcterms:W3CDTF">2026-10-01T13:18:26+02:00</dcterms:modified>
</cp:coreProperties>
</file>

<file path=docProps/custom.xml><?xml version="1.0" encoding="utf-8"?>
<Properties xmlns="http://schemas.openxmlformats.org/officeDocument/2006/custom-properties" xmlns:vt="http://schemas.openxmlformats.org/officeDocument/2006/docPropsVTypes"/>
</file>